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B7" w:rsidRDefault="009567B7" w:rsidP="009567B7">
      <w:pPr>
        <w:spacing w:line="240" w:lineRule="auto"/>
        <w:jc w:val="right"/>
        <w:rPr>
          <w:rFonts w:ascii="Arial" w:hAnsi="Arial" w:cs="Arial"/>
          <w:b/>
          <w:color w:val="0070C0"/>
          <w:sz w:val="32"/>
          <w:szCs w:val="32"/>
        </w:rPr>
      </w:pPr>
      <w:r w:rsidRPr="007745EB">
        <w:rPr>
          <w:rFonts w:ascii="Arial" w:hAnsi="Arial" w:cs="Arial"/>
          <w:noProof/>
        </w:rPr>
        <w:drawing>
          <wp:inline distT="0" distB="0" distL="0" distR="0" wp14:anchorId="6E31AECE" wp14:editId="030C11F8">
            <wp:extent cx="2067803" cy="923925"/>
            <wp:effectExtent l="0" t="0" r="8890" b="0"/>
            <wp:docPr id="7" name="Picture 7"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 Organisational Logo Standard Template_A4_CMYK_Right Aligne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38" cy="925504"/>
                    </a:xfrm>
                    <a:prstGeom prst="rect">
                      <a:avLst/>
                    </a:prstGeom>
                    <a:noFill/>
                    <a:ln>
                      <a:noFill/>
                    </a:ln>
                  </pic:spPr>
                </pic:pic>
              </a:graphicData>
            </a:graphic>
          </wp:inline>
        </w:drawing>
      </w:r>
    </w:p>
    <w:p w:rsidR="009567B7" w:rsidRPr="009567B7" w:rsidRDefault="009567B7" w:rsidP="009567B7">
      <w:pPr>
        <w:pStyle w:val="Heading1"/>
        <w:spacing w:line="240" w:lineRule="auto"/>
        <w:rPr>
          <w:rFonts w:ascii="Arial" w:hAnsi="Arial" w:cs="Arial"/>
          <w:color w:val="0070C0"/>
          <w:sz w:val="32"/>
          <w:szCs w:val="32"/>
        </w:rPr>
      </w:pPr>
      <w:bookmarkStart w:id="0" w:name="_Toc512853674"/>
      <w:r w:rsidRPr="009567B7">
        <w:rPr>
          <w:rFonts w:ascii="Arial" w:hAnsi="Arial" w:cs="Arial"/>
          <w:color w:val="0070C0"/>
          <w:sz w:val="32"/>
          <w:szCs w:val="32"/>
        </w:rPr>
        <w:t>Learning from healthcare deaths Report: The right thing to do</w:t>
      </w:r>
      <w:bookmarkEnd w:id="0"/>
      <w:r w:rsidRPr="009567B7">
        <w:rPr>
          <w:rFonts w:ascii="Arial" w:hAnsi="Arial" w:cs="Arial"/>
          <w:color w:val="0070C0"/>
          <w:sz w:val="32"/>
          <w:szCs w:val="32"/>
        </w:rPr>
        <w:t xml:space="preserve">  </w:t>
      </w:r>
    </w:p>
    <w:p w:rsidR="009567B7" w:rsidRDefault="009567B7" w:rsidP="009567B7">
      <w:pPr>
        <w:spacing w:line="240" w:lineRule="auto"/>
        <w:rPr>
          <w:rFonts w:ascii="Arial" w:hAnsi="Arial" w:cs="Arial"/>
          <w:b/>
          <w:color w:val="0070C0"/>
          <w:sz w:val="32"/>
          <w:szCs w:val="32"/>
        </w:rPr>
      </w:pPr>
      <w:r w:rsidRPr="009567B7">
        <w:rPr>
          <w:rFonts w:ascii="Arial" w:hAnsi="Arial" w:cs="Arial"/>
          <w:b/>
          <w:color w:val="0070C0"/>
          <w:sz w:val="32"/>
          <w:szCs w:val="32"/>
        </w:rPr>
        <w:t>Annual Cumulative Report 2019/20 (covering the period 1/4/2019 – 3</w:t>
      </w:r>
      <w:r w:rsidR="00777BD8">
        <w:rPr>
          <w:rFonts w:ascii="Arial" w:hAnsi="Arial" w:cs="Arial"/>
          <w:b/>
          <w:color w:val="0070C0"/>
          <w:sz w:val="32"/>
          <w:szCs w:val="32"/>
        </w:rPr>
        <w:t>1</w:t>
      </w:r>
      <w:r w:rsidRPr="009567B7">
        <w:rPr>
          <w:rFonts w:ascii="Arial" w:hAnsi="Arial" w:cs="Arial"/>
          <w:b/>
          <w:color w:val="0070C0"/>
          <w:sz w:val="32"/>
          <w:szCs w:val="32"/>
        </w:rPr>
        <w:t>/</w:t>
      </w:r>
      <w:r w:rsidR="00777BD8">
        <w:rPr>
          <w:rFonts w:ascii="Arial" w:hAnsi="Arial" w:cs="Arial"/>
          <w:b/>
          <w:color w:val="0070C0"/>
          <w:sz w:val="32"/>
          <w:szCs w:val="32"/>
        </w:rPr>
        <w:t>12</w:t>
      </w:r>
      <w:r w:rsidRPr="009567B7">
        <w:rPr>
          <w:rFonts w:ascii="Arial" w:hAnsi="Arial" w:cs="Arial"/>
          <w:b/>
          <w:color w:val="0070C0"/>
          <w:sz w:val="32"/>
          <w:szCs w:val="32"/>
        </w:rPr>
        <w:t>/19)</w:t>
      </w:r>
    </w:p>
    <w:p w:rsidR="009567B7" w:rsidRDefault="009567B7" w:rsidP="009567B7">
      <w:pPr>
        <w:numPr>
          <w:ilvl w:val="0"/>
          <w:numId w:val="1"/>
        </w:numPr>
        <w:suppressAutoHyphens/>
        <w:spacing w:after="0" w:line="240" w:lineRule="auto"/>
        <w:ind w:left="567" w:hanging="567"/>
        <w:jc w:val="both"/>
        <w:rPr>
          <w:rFonts w:ascii="Arial" w:hAnsi="Arial" w:cs="Arial"/>
          <w:b/>
          <w:color w:val="0070C0"/>
          <w:sz w:val="32"/>
          <w:szCs w:val="32"/>
        </w:rPr>
      </w:pPr>
      <w:r>
        <w:rPr>
          <w:rFonts w:ascii="Arial" w:hAnsi="Arial" w:cs="Arial"/>
          <w:b/>
          <w:color w:val="0070C0"/>
          <w:sz w:val="32"/>
          <w:szCs w:val="32"/>
        </w:rPr>
        <w:t>Background context</w:t>
      </w:r>
    </w:p>
    <w:p w:rsidR="009567B7" w:rsidRDefault="009567B7" w:rsidP="009567B7">
      <w:pPr>
        <w:suppressAutoHyphens/>
        <w:spacing w:after="0" w:line="240" w:lineRule="auto"/>
        <w:ind w:left="567"/>
        <w:jc w:val="both"/>
        <w:rPr>
          <w:rFonts w:ascii="Arial" w:hAnsi="Arial" w:cs="Arial"/>
          <w:b/>
          <w:color w:val="0070C0"/>
          <w:sz w:val="32"/>
          <w:szCs w:val="32"/>
        </w:rPr>
      </w:pPr>
    </w:p>
    <w:p w:rsidR="00D008B1" w:rsidRDefault="00D008B1" w:rsidP="00D008B1">
      <w:pPr>
        <w:pStyle w:val="Default"/>
        <w:rPr>
          <w:sz w:val="28"/>
          <w:szCs w:val="28"/>
        </w:rPr>
      </w:pPr>
      <w:r>
        <w:rPr>
          <w:b/>
          <w:bCs/>
          <w:sz w:val="28"/>
          <w:szCs w:val="28"/>
        </w:rPr>
        <w:t xml:space="preserve">1.1 Introduction </w:t>
      </w:r>
    </w:p>
    <w:p w:rsidR="00D008B1" w:rsidRDefault="00D008B1" w:rsidP="00D008B1">
      <w:pPr>
        <w:pStyle w:val="Default"/>
        <w:rPr>
          <w:sz w:val="22"/>
          <w:szCs w:val="22"/>
        </w:rPr>
      </w:pPr>
      <w:r>
        <w:rPr>
          <w:sz w:val="22"/>
          <w:szCs w:val="22"/>
        </w:rPr>
        <w:t xml:space="preserve">Scrutiny of healthcare deaths has been high on the government’s agenda for some time. In line with the National Quality Board report published in 2017, the Trust has had Learning from Healthcare Deaths policy in place since September 2017 that sets out how we identify, report, investigate and learn from a patient’s death. The Trust has been reporting and publishing our data on our website since October 2017. </w:t>
      </w:r>
    </w:p>
    <w:p w:rsidR="004671EF" w:rsidRDefault="004671EF" w:rsidP="00D008B1">
      <w:pPr>
        <w:pStyle w:val="Default"/>
        <w:rPr>
          <w:sz w:val="22"/>
          <w:szCs w:val="22"/>
        </w:rPr>
      </w:pPr>
    </w:p>
    <w:p w:rsidR="00D008B1" w:rsidRDefault="00D008B1" w:rsidP="00D008B1">
      <w:pPr>
        <w:pStyle w:val="Default"/>
        <w:rPr>
          <w:sz w:val="22"/>
          <w:szCs w:val="22"/>
        </w:rPr>
      </w:pPr>
      <w:r>
        <w:rPr>
          <w:sz w:val="22"/>
          <w:szCs w:val="22"/>
        </w:rPr>
        <w:t xml:space="preserve">Most people will be in receipt of care from the NHS at the time of their death and experience excellent care from the NHS for the weeks, months and years leading up to their death. However, for some people, their experience is different and they receive poor quality care for a number of reasons including system failure. </w:t>
      </w:r>
    </w:p>
    <w:p w:rsidR="004671EF" w:rsidRDefault="004671EF" w:rsidP="00D008B1">
      <w:pPr>
        <w:pStyle w:val="Default"/>
        <w:rPr>
          <w:sz w:val="22"/>
          <w:szCs w:val="22"/>
        </w:rPr>
      </w:pPr>
    </w:p>
    <w:p w:rsidR="00D008B1" w:rsidRDefault="00D008B1" w:rsidP="00D008B1">
      <w:pPr>
        <w:pStyle w:val="Default"/>
        <w:rPr>
          <w:sz w:val="22"/>
          <w:szCs w:val="22"/>
        </w:rPr>
      </w:pPr>
      <w:r>
        <w:rPr>
          <w:sz w:val="22"/>
          <w:szCs w:val="22"/>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 </w:t>
      </w:r>
    </w:p>
    <w:p w:rsidR="004671EF" w:rsidRDefault="004671EF" w:rsidP="00D008B1">
      <w:pPr>
        <w:pStyle w:val="Default"/>
        <w:rPr>
          <w:sz w:val="22"/>
          <w:szCs w:val="22"/>
        </w:rPr>
      </w:pPr>
    </w:p>
    <w:p w:rsidR="00D008B1" w:rsidRDefault="00D008B1" w:rsidP="00D008B1">
      <w:pPr>
        <w:pStyle w:val="Default"/>
        <w:rPr>
          <w:sz w:val="22"/>
          <w:szCs w:val="22"/>
        </w:rPr>
      </w:pPr>
      <w:r>
        <w:rPr>
          <w:sz w:val="22"/>
          <w:szCs w:val="22"/>
        </w:rPr>
        <w:t xml:space="preserve">The Confidential Inquiry into premature deaths of people with learning disabilities showed a very similar picture in terms of early deaths. </w:t>
      </w:r>
    </w:p>
    <w:p w:rsidR="004671EF" w:rsidRDefault="004671EF" w:rsidP="00D008B1">
      <w:pPr>
        <w:pStyle w:val="Default"/>
        <w:rPr>
          <w:sz w:val="22"/>
          <w:szCs w:val="22"/>
        </w:rPr>
      </w:pPr>
    </w:p>
    <w:p w:rsidR="00D008B1" w:rsidRDefault="00D008B1" w:rsidP="00D008B1">
      <w:pPr>
        <w:pStyle w:val="Default"/>
        <w:rPr>
          <w:sz w:val="22"/>
          <w:szCs w:val="22"/>
        </w:rPr>
      </w:pPr>
      <w:r>
        <w:rPr>
          <w:sz w:val="22"/>
          <w:szCs w:val="22"/>
        </w:rPr>
        <w:t xml:space="preserve">The Trust has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lessons and improve services. 3 </w:t>
      </w:r>
    </w:p>
    <w:p w:rsidR="00D008B1" w:rsidRDefault="00D008B1" w:rsidP="00D008B1">
      <w:pPr>
        <w:pStyle w:val="Default"/>
        <w:rPr>
          <w:color w:val="auto"/>
        </w:rPr>
      </w:pPr>
    </w:p>
    <w:p w:rsidR="00D008B1" w:rsidRDefault="00D008B1" w:rsidP="00D008B1">
      <w:pPr>
        <w:pStyle w:val="Default"/>
        <w:pageBreakBefore/>
        <w:rPr>
          <w:color w:val="auto"/>
          <w:sz w:val="28"/>
          <w:szCs w:val="28"/>
        </w:rPr>
      </w:pPr>
      <w:r>
        <w:rPr>
          <w:b/>
          <w:bCs/>
          <w:color w:val="auto"/>
          <w:sz w:val="28"/>
          <w:szCs w:val="28"/>
        </w:rPr>
        <w:lastRenderedPageBreak/>
        <w:t xml:space="preserve">1.2 Scope </w:t>
      </w:r>
    </w:p>
    <w:p w:rsidR="00D008B1" w:rsidRDefault="00D008B1" w:rsidP="00D008B1">
      <w:pPr>
        <w:pStyle w:val="Default"/>
        <w:rPr>
          <w:color w:val="auto"/>
          <w:sz w:val="22"/>
          <w:szCs w:val="22"/>
        </w:rPr>
      </w:pPr>
      <w:r>
        <w:rPr>
          <w:color w:val="auto"/>
          <w:sz w:val="22"/>
          <w:szCs w:val="22"/>
        </w:rPr>
        <w:t xml:space="preserve">The Trust has systems that identify and capture the known deaths of its service users on its electronic patient administration system (PAS) and on its Datix system where the death requires reporting. </w:t>
      </w:r>
    </w:p>
    <w:p w:rsidR="004671EF" w:rsidRDefault="004671EF" w:rsidP="00D008B1">
      <w:pPr>
        <w:pStyle w:val="Default"/>
        <w:rPr>
          <w:color w:val="auto"/>
          <w:sz w:val="22"/>
          <w:szCs w:val="22"/>
        </w:rPr>
      </w:pPr>
    </w:p>
    <w:p w:rsidR="004671EF" w:rsidRDefault="00D008B1" w:rsidP="00D008B1">
      <w:pPr>
        <w:pStyle w:val="Default"/>
        <w:rPr>
          <w:color w:val="auto"/>
          <w:sz w:val="22"/>
          <w:szCs w:val="22"/>
        </w:rPr>
      </w:pPr>
      <w:r>
        <w:rPr>
          <w:color w:val="auto"/>
          <w:sz w:val="22"/>
          <w:szCs w:val="22"/>
        </w:rPr>
        <w:t>The Trust’s Performance and Information team is also working with local registration of deaths services to ensure data on deaths is accurate and timely</w:t>
      </w:r>
      <w:r w:rsidR="004671EF">
        <w:rPr>
          <w:color w:val="auto"/>
          <w:sz w:val="22"/>
          <w:szCs w:val="22"/>
        </w:rPr>
        <w:t xml:space="preserve">. </w:t>
      </w:r>
    </w:p>
    <w:p w:rsidR="00D008B1" w:rsidRDefault="00D008B1" w:rsidP="00D008B1">
      <w:pPr>
        <w:pStyle w:val="Default"/>
        <w:rPr>
          <w:color w:val="auto"/>
          <w:sz w:val="22"/>
          <w:szCs w:val="22"/>
        </w:rPr>
      </w:pPr>
      <w:r>
        <w:rPr>
          <w:color w:val="auto"/>
          <w:sz w:val="22"/>
          <w:szCs w:val="22"/>
        </w:rPr>
        <w:t xml:space="preserve"> </w:t>
      </w:r>
    </w:p>
    <w:p w:rsidR="00D008B1" w:rsidRDefault="00D008B1" w:rsidP="00D008B1">
      <w:pPr>
        <w:pStyle w:val="Default"/>
        <w:rPr>
          <w:color w:val="auto"/>
          <w:sz w:val="22"/>
          <w:szCs w:val="22"/>
        </w:rPr>
      </w:pPr>
      <w:r>
        <w:rPr>
          <w:color w:val="auto"/>
          <w:sz w:val="22"/>
          <w:szCs w:val="22"/>
        </w:rPr>
        <w:t xml:space="preserve">From 1 October 2017, the Trust introduced our Learning from healthcare deaths – the right thing to do policy which introduced a revised scope for reporting deaths. Staff must report deaths where there are concerns from family, clinical staff or through governance processes and where the Trust is the main provider of care, reporting these deaths on Datix within 24 hours of being informed. </w:t>
      </w:r>
      <w:r w:rsidR="004671EF">
        <w:rPr>
          <w:color w:val="auto"/>
          <w:sz w:val="22"/>
          <w:szCs w:val="22"/>
        </w:rPr>
        <w:t>The policy was reviewed and updated in January 20</w:t>
      </w:r>
      <w:r w:rsidR="00777BD8">
        <w:rPr>
          <w:color w:val="auto"/>
          <w:sz w:val="22"/>
          <w:szCs w:val="22"/>
        </w:rPr>
        <w:t>20</w:t>
      </w:r>
      <w:r w:rsidR="004671EF">
        <w:rPr>
          <w:color w:val="auto"/>
          <w:sz w:val="22"/>
          <w:szCs w:val="22"/>
        </w:rPr>
        <w:t>.</w:t>
      </w:r>
    </w:p>
    <w:p w:rsidR="004671EF" w:rsidRDefault="004671EF" w:rsidP="00D008B1">
      <w:pPr>
        <w:pStyle w:val="Default"/>
        <w:rPr>
          <w:color w:val="auto"/>
          <w:sz w:val="22"/>
          <w:szCs w:val="22"/>
        </w:rPr>
      </w:pPr>
    </w:p>
    <w:p w:rsidR="004671EF" w:rsidRDefault="00D008B1" w:rsidP="004671EF">
      <w:pPr>
        <w:pStyle w:val="Default"/>
        <w:rPr>
          <w:color w:val="auto"/>
          <w:sz w:val="22"/>
          <w:szCs w:val="22"/>
        </w:rPr>
      </w:pPr>
      <w:r>
        <w:rPr>
          <w:color w:val="auto"/>
          <w:sz w:val="22"/>
          <w:szCs w:val="22"/>
        </w:rPr>
        <w:t>Each reported death</w:t>
      </w:r>
      <w:r w:rsidR="004671EF">
        <w:rPr>
          <w:color w:val="auto"/>
          <w:sz w:val="22"/>
          <w:szCs w:val="22"/>
        </w:rPr>
        <w:t xml:space="preserve"> that meets the scope criteria</w:t>
      </w:r>
      <w:r>
        <w:rPr>
          <w:color w:val="auto"/>
          <w:sz w:val="22"/>
          <w:szCs w:val="22"/>
        </w:rPr>
        <w:t xml:space="preserve"> is reviewed in line with the three levels of scrutiny the Trust has adopted in line with the National Quality Board guidance: </w:t>
      </w:r>
    </w:p>
    <w:p w:rsidR="004671EF" w:rsidRDefault="004671EF" w:rsidP="004671EF">
      <w:pPr>
        <w:pStyle w:val="Default"/>
        <w:rPr>
          <w:color w:val="auto"/>
          <w:sz w:val="22"/>
          <w:szCs w:val="22"/>
        </w:rPr>
      </w:pPr>
    </w:p>
    <w:tbl>
      <w:tblPr>
        <w:tblStyle w:val="TableGrid"/>
        <w:tblW w:w="0" w:type="auto"/>
        <w:tblLook w:val="04A0" w:firstRow="1" w:lastRow="0" w:firstColumn="1" w:lastColumn="0" w:noHBand="0" w:noVBand="1"/>
      </w:tblPr>
      <w:tblGrid>
        <w:gridCol w:w="392"/>
        <w:gridCol w:w="2551"/>
        <w:gridCol w:w="6299"/>
      </w:tblGrid>
      <w:tr w:rsidR="004671EF" w:rsidRPr="00AC1228" w:rsidTr="004365D0">
        <w:tc>
          <w:tcPr>
            <w:tcW w:w="9242" w:type="dxa"/>
            <w:gridSpan w:val="3"/>
          </w:tcPr>
          <w:p w:rsidR="004671EF" w:rsidRPr="00AC1228" w:rsidRDefault="004671EF" w:rsidP="004671EF">
            <w:pPr>
              <w:pStyle w:val="Default"/>
              <w:jc w:val="both"/>
            </w:pPr>
            <w:r w:rsidRPr="004671EF">
              <w:rPr>
                <w:b/>
                <w:color w:val="auto"/>
                <w:sz w:val="22"/>
                <w:szCs w:val="22"/>
              </w:rPr>
              <w:t xml:space="preserve">In scope </w:t>
            </w:r>
            <w:r>
              <w:rPr>
                <w:b/>
                <w:color w:val="auto"/>
                <w:sz w:val="22"/>
                <w:szCs w:val="22"/>
              </w:rPr>
              <w:t>d</w:t>
            </w:r>
            <w:r w:rsidRPr="004671EF">
              <w:rPr>
                <w:b/>
                <w:color w:val="auto"/>
                <w:sz w:val="22"/>
                <w:szCs w:val="22"/>
              </w:rPr>
              <w:t>eaths should be reviewed using one of the</w:t>
            </w:r>
            <w:r>
              <w:rPr>
                <w:b/>
                <w:color w:val="auto"/>
                <w:sz w:val="22"/>
                <w:szCs w:val="22"/>
              </w:rPr>
              <w:t xml:space="preserve"> 3</w:t>
            </w:r>
            <w:r w:rsidRPr="004671EF">
              <w:rPr>
                <w:b/>
                <w:color w:val="auto"/>
                <w:sz w:val="22"/>
                <w:szCs w:val="22"/>
              </w:rPr>
              <w:t xml:space="preserve"> levels of scrutiny: </w:t>
            </w:r>
          </w:p>
        </w:tc>
      </w:tr>
      <w:tr w:rsidR="004671EF" w:rsidRPr="00AC1228" w:rsidTr="00F373B2">
        <w:tc>
          <w:tcPr>
            <w:tcW w:w="392" w:type="dxa"/>
          </w:tcPr>
          <w:p w:rsidR="004671EF" w:rsidRPr="00AC1228" w:rsidRDefault="004671EF" w:rsidP="00F373B2">
            <w:pPr>
              <w:jc w:val="both"/>
              <w:rPr>
                <w:rFonts w:ascii="Arial" w:hAnsi="Arial" w:cs="Arial"/>
              </w:rPr>
            </w:pPr>
            <w:r w:rsidRPr="00AC1228">
              <w:rPr>
                <w:rFonts w:ascii="Arial" w:hAnsi="Arial" w:cs="Arial"/>
              </w:rPr>
              <w:t>1</w:t>
            </w:r>
          </w:p>
        </w:tc>
        <w:tc>
          <w:tcPr>
            <w:tcW w:w="2551" w:type="dxa"/>
          </w:tcPr>
          <w:p w:rsidR="004671EF" w:rsidRPr="00AC1228" w:rsidRDefault="004671EF" w:rsidP="00F373B2">
            <w:pPr>
              <w:jc w:val="both"/>
              <w:rPr>
                <w:rFonts w:ascii="Arial" w:hAnsi="Arial" w:cs="Arial"/>
              </w:rPr>
            </w:pPr>
            <w:r w:rsidRPr="00AC1228">
              <w:rPr>
                <w:rFonts w:ascii="Arial" w:hAnsi="Arial" w:cs="Arial"/>
              </w:rPr>
              <w:t>Death Certification</w:t>
            </w:r>
          </w:p>
          <w:p w:rsidR="004671EF" w:rsidRPr="00AC1228" w:rsidRDefault="004671EF" w:rsidP="00F373B2">
            <w:pPr>
              <w:jc w:val="both"/>
              <w:rPr>
                <w:rFonts w:ascii="Arial" w:hAnsi="Arial" w:cs="Arial"/>
              </w:rPr>
            </w:pPr>
          </w:p>
        </w:tc>
        <w:tc>
          <w:tcPr>
            <w:tcW w:w="6299" w:type="dxa"/>
          </w:tcPr>
          <w:p w:rsidR="004671EF" w:rsidRPr="00AC1228" w:rsidRDefault="004671EF" w:rsidP="004671EF">
            <w:pPr>
              <w:pStyle w:val="Default"/>
              <w:jc w:val="both"/>
            </w:pPr>
            <w:r w:rsidRPr="00AC1228">
              <w:t xml:space="preserve">Details of the cause of death as certified by the attending doctor. </w:t>
            </w:r>
          </w:p>
        </w:tc>
      </w:tr>
      <w:tr w:rsidR="004671EF" w:rsidRPr="00AC1228" w:rsidTr="00F373B2">
        <w:tc>
          <w:tcPr>
            <w:tcW w:w="392" w:type="dxa"/>
          </w:tcPr>
          <w:p w:rsidR="004671EF" w:rsidRPr="00AC1228" w:rsidRDefault="004671EF" w:rsidP="00F373B2">
            <w:pPr>
              <w:jc w:val="both"/>
              <w:rPr>
                <w:rFonts w:ascii="Arial" w:hAnsi="Arial" w:cs="Arial"/>
              </w:rPr>
            </w:pPr>
            <w:r w:rsidRPr="00AC1228">
              <w:rPr>
                <w:rFonts w:ascii="Arial" w:hAnsi="Arial" w:cs="Arial"/>
              </w:rPr>
              <w:t>2</w:t>
            </w:r>
          </w:p>
        </w:tc>
        <w:tc>
          <w:tcPr>
            <w:tcW w:w="2551" w:type="dxa"/>
          </w:tcPr>
          <w:p w:rsidR="004671EF" w:rsidRPr="00AC1228" w:rsidRDefault="004671EF" w:rsidP="00F373B2">
            <w:pPr>
              <w:jc w:val="both"/>
              <w:rPr>
                <w:rFonts w:ascii="Arial" w:hAnsi="Arial" w:cs="Arial"/>
              </w:rPr>
            </w:pPr>
            <w:r w:rsidRPr="00AC1228">
              <w:rPr>
                <w:rFonts w:ascii="Arial" w:hAnsi="Arial" w:cs="Arial"/>
              </w:rPr>
              <w:t>Case record review</w:t>
            </w:r>
          </w:p>
        </w:tc>
        <w:tc>
          <w:tcPr>
            <w:tcW w:w="6299" w:type="dxa"/>
          </w:tcPr>
          <w:p w:rsidR="004671EF" w:rsidRPr="00AC1228" w:rsidRDefault="004671EF" w:rsidP="00F373B2">
            <w:pPr>
              <w:jc w:val="both"/>
              <w:rPr>
                <w:rFonts w:ascii="Arial" w:hAnsi="Arial" w:cs="Arial"/>
              </w:rPr>
            </w:pPr>
            <w:r w:rsidRPr="00AC1228">
              <w:rPr>
                <w:rFonts w:ascii="Arial" w:hAnsi="Arial" w:cs="Arial"/>
              </w:rPr>
              <w:t>Includes:</w:t>
            </w:r>
          </w:p>
          <w:p w:rsidR="004671EF" w:rsidRPr="00AC1228" w:rsidRDefault="004671EF" w:rsidP="00F373B2">
            <w:pPr>
              <w:jc w:val="both"/>
              <w:rPr>
                <w:rFonts w:ascii="Arial" w:hAnsi="Arial" w:cs="Arial"/>
              </w:rPr>
            </w:pPr>
            <w:r w:rsidRPr="00AC1228">
              <w:rPr>
                <w:rFonts w:ascii="Arial" w:hAnsi="Arial" w:cs="Arial"/>
              </w:rPr>
              <w:t xml:space="preserve">(1) Managers 48 hour review </w:t>
            </w:r>
          </w:p>
          <w:p w:rsidR="004671EF" w:rsidRPr="00AC1228" w:rsidRDefault="004671EF" w:rsidP="00F373B2">
            <w:pPr>
              <w:jc w:val="both"/>
              <w:rPr>
                <w:rFonts w:ascii="Arial" w:hAnsi="Arial" w:cs="Arial"/>
              </w:rPr>
            </w:pPr>
            <w:r w:rsidRPr="00AC1228">
              <w:rPr>
                <w:rFonts w:ascii="Arial" w:hAnsi="Arial" w:cs="Arial"/>
              </w:rPr>
              <w:t xml:space="preserve">(2) Structured Judgement Review </w:t>
            </w:r>
          </w:p>
        </w:tc>
      </w:tr>
      <w:tr w:rsidR="004671EF" w:rsidRPr="00AC1228" w:rsidTr="00F373B2">
        <w:tc>
          <w:tcPr>
            <w:tcW w:w="392" w:type="dxa"/>
          </w:tcPr>
          <w:p w:rsidR="004671EF" w:rsidRPr="00AC1228" w:rsidRDefault="004671EF" w:rsidP="00F373B2">
            <w:pPr>
              <w:jc w:val="both"/>
              <w:rPr>
                <w:rFonts w:ascii="Arial" w:hAnsi="Arial" w:cs="Arial"/>
              </w:rPr>
            </w:pPr>
            <w:r w:rsidRPr="00AC1228">
              <w:rPr>
                <w:rFonts w:ascii="Arial" w:hAnsi="Arial" w:cs="Arial"/>
              </w:rPr>
              <w:t>3</w:t>
            </w:r>
          </w:p>
        </w:tc>
        <w:tc>
          <w:tcPr>
            <w:tcW w:w="2551" w:type="dxa"/>
          </w:tcPr>
          <w:p w:rsidR="004671EF" w:rsidRPr="00AC1228" w:rsidRDefault="004671EF" w:rsidP="00F373B2">
            <w:pPr>
              <w:jc w:val="both"/>
              <w:rPr>
                <w:rFonts w:ascii="Arial" w:hAnsi="Arial" w:cs="Arial"/>
              </w:rPr>
            </w:pPr>
            <w:r w:rsidRPr="00AC1228">
              <w:rPr>
                <w:rFonts w:ascii="Arial" w:hAnsi="Arial" w:cs="Arial"/>
              </w:rPr>
              <w:t>Investigation</w:t>
            </w:r>
          </w:p>
        </w:tc>
        <w:tc>
          <w:tcPr>
            <w:tcW w:w="6299" w:type="dxa"/>
          </w:tcPr>
          <w:p w:rsidR="004671EF" w:rsidRPr="00AC1228" w:rsidRDefault="004671EF" w:rsidP="00F373B2">
            <w:pPr>
              <w:jc w:val="both"/>
              <w:rPr>
                <w:rFonts w:ascii="Arial" w:hAnsi="Arial" w:cs="Arial"/>
              </w:rPr>
            </w:pPr>
            <w:r w:rsidRPr="00AC1228">
              <w:rPr>
                <w:rFonts w:ascii="Arial" w:hAnsi="Arial" w:cs="Arial"/>
              </w:rPr>
              <w:t>Includes:</w:t>
            </w:r>
          </w:p>
          <w:p w:rsidR="004671EF" w:rsidRPr="00AC1228" w:rsidRDefault="004671EF" w:rsidP="00F373B2">
            <w:pPr>
              <w:jc w:val="both"/>
              <w:rPr>
                <w:rFonts w:ascii="Arial" w:hAnsi="Arial" w:cs="Arial"/>
              </w:rPr>
            </w:pPr>
            <w:r>
              <w:rPr>
                <w:rFonts w:ascii="Arial" w:hAnsi="Arial" w:cs="Arial"/>
              </w:rPr>
              <w:t>S</w:t>
            </w:r>
            <w:r w:rsidRPr="00AC1228">
              <w:rPr>
                <w:rFonts w:ascii="Arial" w:hAnsi="Arial" w:cs="Arial"/>
              </w:rPr>
              <w:t xml:space="preserve">ervice </w:t>
            </w:r>
            <w:r>
              <w:rPr>
                <w:rFonts w:ascii="Arial" w:hAnsi="Arial" w:cs="Arial"/>
              </w:rPr>
              <w:t>L</w:t>
            </w:r>
            <w:r w:rsidRPr="00AC1228">
              <w:rPr>
                <w:rFonts w:ascii="Arial" w:hAnsi="Arial" w:cs="Arial"/>
              </w:rPr>
              <w:t xml:space="preserve">evel </w:t>
            </w:r>
            <w:r>
              <w:rPr>
                <w:rFonts w:ascii="Arial" w:hAnsi="Arial" w:cs="Arial"/>
              </w:rPr>
              <w:t>I</w:t>
            </w:r>
            <w:r w:rsidRPr="00AC1228">
              <w:rPr>
                <w:rFonts w:ascii="Arial" w:hAnsi="Arial" w:cs="Arial"/>
              </w:rPr>
              <w:t>nvestigation</w:t>
            </w:r>
          </w:p>
          <w:p w:rsidR="004671EF" w:rsidRPr="00AC1228" w:rsidRDefault="004671EF" w:rsidP="00F373B2">
            <w:pPr>
              <w:jc w:val="both"/>
              <w:rPr>
                <w:rFonts w:ascii="Arial" w:hAnsi="Arial" w:cs="Arial"/>
              </w:rPr>
            </w:pPr>
            <w:r w:rsidRPr="00AC1228">
              <w:rPr>
                <w:rFonts w:ascii="Arial" w:hAnsi="Arial" w:cs="Arial"/>
              </w:rPr>
              <w:t>Serious Incident Investigation (reported on STEIS)</w:t>
            </w:r>
          </w:p>
          <w:p w:rsidR="004671EF" w:rsidRPr="00AC1228" w:rsidRDefault="004671EF" w:rsidP="00F373B2">
            <w:pPr>
              <w:jc w:val="both"/>
              <w:rPr>
                <w:rFonts w:ascii="Arial" w:hAnsi="Arial" w:cs="Arial"/>
              </w:rPr>
            </w:pPr>
            <w:r w:rsidRPr="00AC1228">
              <w:rPr>
                <w:rFonts w:ascii="Arial" w:hAnsi="Arial" w:cs="Arial"/>
              </w:rPr>
              <w:t>Other reviews e.g. LeDeR, safeguarding.</w:t>
            </w:r>
          </w:p>
        </w:tc>
      </w:tr>
    </w:tbl>
    <w:p w:rsidR="004671EF" w:rsidRDefault="004671EF" w:rsidP="004671EF">
      <w:pPr>
        <w:pStyle w:val="Default"/>
        <w:rPr>
          <w:color w:val="auto"/>
          <w:sz w:val="22"/>
          <w:szCs w:val="22"/>
        </w:rPr>
      </w:pPr>
    </w:p>
    <w:p w:rsidR="00D008B1" w:rsidRDefault="004671EF" w:rsidP="004671EF">
      <w:pPr>
        <w:pStyle w:val="Default"/>
        <w:rPr>
          <w:b/>
          <w:bCs/>
          <w:color w:val="auto"/>
          <w:sz w:val="28"/>
          <w:szCs w:val="28"/>
        </w:rPr>
      </w:pPr>
      <w:r>
        <w:rPr>
          <w:b/>
          <w:bCs/>
          <w:color w:val="auto"/>
          <w:sz w:val="28"/>
          <w:szCs w:val="28"/>
        </w:rPr>
        <w:t>1</w:t>
      </w:r>
      <w:r w:rsidR="00D008B1" w:rsidRPr="004671EF">
        <w:rPr>
          <w:b/>
          <w:bCs/>
          <w:color w:val="auto"/>
          <w:sz w:val="28"/>
          <w:szCs w:val="28"/>
        </w:rPr>
        <w:t xml:space="preserve">.3 Next Steps </w:t>
      </w:r>
    </w:p>
    <w:p w:rsidR="00CF0D7F" w:rsidRDefault="00CF0D7F" w:rsidP="004671EF">
      <w:pPr>
        <w:pStyle w:val="Default"/>
        <w:rPr>
          <w:b/>
          <w:bCs/>
          <w:color w:val="auto"/>
          <w:sz w:val="28"/>
          <w:szCs w:val="28"/>
        </w:rPr>
      </w:pPr>
    </w:p>
    <w:p w:rsidR="004671EF" w:rsidRPr="00CF0D7F" w:rsidRDefault="004671EF" w:rsidP="004671EF">
      <w:pPr>
        <w:pStyle w:val="Default"/>
        <w:rPr>
          <w:bCs/>
          <w:color w:val="auto"/>
        </w:rPr>
      </w:pPr>
      <w:r w:rsidRPr="00CF0D7F">
        <w:rPr>
          <w:bCs/>
          <w:color w:val="auto"/>
        </w:rPr>
        <w:t>Our work to support learning from deaths continues, and includes</w:t>
      </w:r>
      <w:r w:rsidR="00CF0D7F" w:rsidRPr="00CF0D7F">
        <w:rPr>
          <w:bCs/>
          <w:color w:val="auto"/>
        </w:rPr>
        <w:t>:</w:t>
      </w:r>
    </w:p>
    <w:p w:rsidR="00CF0D7F" w:rsidRDefault="00CF0D7F" w:rsidP="00CF0D7F">
      <w:pPr>
        <w:pStyle w:val="Default"/>
        <w:rPr>
          <w:color w:val="auto"/>
          <w:sz w:val="22"/>
          <w:szCs w:val="22"/>
        </w:rPr>
      </w:pPr>
    </w:p>
    <w:p w:rsidR="00CF0D7F" w:rsidRDefault="00CF0D7F" w:rsidP="00CF0D7F">
      <w:pPr>
        <w:pStyle w:val="Default"/>
        <w:numPr>
          <w:ilvl w:val="0"/>
          <w:numId w:val="26"/>
        </w:numPr>
        <w:rPr>
          <w:sz w:val="22"/>
          <w:szCs w:val="22"/>
        </w:rPr>
      </w:pPr>
      <w:r w:rsidRPr="00CF0D7F">
        <w:rPr>
          <w:sz w:val="22"/>
          <w:szCs w:val="22"/>
        </w:rPr>
        <w:t xml:space="preserve">Development of processes to support bereaved families and carers. </w:t>
      </w:r>
    </w:p>
    <w:p w:rsidR="00D008B1" w:rsidRPr="00CF0D7F" w:rsidRDefault="00CF0D7F" w:rsidP="00CF0D7F">
      <w:pPr>
        <w:pStyle w:val="Default"/>
        <w:numPr>
          <w:ilvl w:val="0"/>
          <w:numId w:val="26"/>
        </w:numPr>
        <w:rPr>
          <w:sz w:val="22"/>
          <w:szCs w:val="22"/>
        </w:rPr>
      </w:pPr>
      <w:r w:rsidRPr="00CF0D7F">
        <w:rPr>
          <w:sz w:val="22"/>
          <w:szCs w:val="22"/>
        </w:rPr>
        <w:t xml:space="preserve">Ongoing development of the </w:t>
      </w:r>
      <w:r w:rsidR="004671EF" w:rsidRPr="00CF0D7F">
        <w:rPr>
          <w:sz w:val="22"/>
          <w:szCs w:val="22"/>
        </w:rPr>
        <w:t xml:space="preserve">Clinical Mortality Review Group </w:t>
      </w:r>
    </w:p>
    <w:p w:rsidR="004671EF" w:rsidRPr="00CF0D7F" w:rsidRDefault="004671EF" w:rsidP="00CF0D7F">
      <w:pPr>
        <w:pStyle w:val="Default"/>
        <w:numPr>
          <w:ilvl w:val="0"/>
          <w:numId w:val="26"/>
        </w:numPr>
        <w:rPr>
          <w:sz w:val="22"/>
          <w:szCs w:val="22"/>
        </w:rPr>
      </w:pPr>
      <w:r w:rsidRPr="00CF0D7F">
        <w:rPr>
          <w:sz w:val="22"/>
          <w:szCs w:val="22"/>
        </w:rPr>
        <w:t xml:space="preserve">Thematic review </w:t>
      </w:r>
      <w:r w:rsidR="00CF0D7F" w:rsidRPr="00CF0D7F">
        <w:rPr>
          <w:sz w:val="22"/>
          <w:szCs w:val="22"/>
        </w:rPr>
        <w:t xml:space="preserve">and analysis </w:t>
      </w:r>
      <w:r w:rsidRPr="00CF0D7F">
        <w:rPr>
          <w:sz w:val="22"/>
          <w:szCs w:val="22"/>
        </w:rPr>
        <w:t>of learning from deaths</w:t>
      </w:r>
      <w:r w:rsidR="00CF0D7F" w:rsidRPr="00CF0D7F">
        <w:rPr>
          <w:sz w:val="22"/>
          <w:szCs w:val="22"/>
        </w:rPr>
        <w:t xml:space="preserve"> findings</w:t>
      </w:r>
    </w:p>
    <w:p w:rsidR="00D008B1" w:rsidRPr="00CF0D7F" w:rsidRDefault="00D008B1" w:rsidP="00CF0D7F">
      <w:pPr>
        <w:pStyle w:val="Default"/>
        <w:numPr>
          <w:ilvl w:val="0"/>
          <w:numId w:val="26"/>
        </w:numPr>
        <w:rPr>
          <w:sz w:val="22"/>
          <w:szCs w:val="22"/>
        </w:rPr>
      </w:pPr>
      <w:r w:rsidRPr="00CF0D7F">
        <w:rPr>
          <w:sz w:val="22"/>
          <w:szCs w:val="22"/>
        </w:rPr>
        <w:t>Further develop</w:t>
      </w:r>
      <w:r w:rsidR="00CF0D7F" w:rsidRPr="00CF0D7F">
        <w:rPr>
          <w:sz w:val="22"/>
          <w:szCs w:val="22"/>
        </w:rPr>
        <w:t>ment of</w:t>
      </w:r>
      <w:r w:rsidRPr="00CF0D7F">
        <w:rPr>
          <w:sz w:val="22"/>
          <w:szCs w:val="22"/>
        </w:rPr>
        <w:t xml:space="preserve"> </w:t>
      </w:r>
      <w:r w:rsidR="004671EF" w:rsidRPr="00CF0D7F">
        <w:rPr>
          <w:sz w:val="22"/>
          <w:szCs w:val="22"/>
        </w:rPr>
        <w:t xml:space="preserve">internal </w:t>
      </w:r>
      <w:r w:rsidRPr="00CF0D7F">
        <w:rPr>
          <w:sz w:val="22"/>
          <w:szCs w:val="22"/>
        </w:rPr>
        <w:t xml:space="preserve">processes and consistency in data collection </w:t>
      </w:r>
    </w:p>
    <w:p w:rsidR="00D008B1" w:rsidRPr="00CF0D7F" w:rsidRDefault="00CF0D7F" w:rsidP="00CF0D7F">
      <w:pPr>
        <w:pStyle w:val="Default"/>
        <w:numPr>
          <w:ilvl w:val="0"/>
          <w:numId w:val="26"/>
        </w:numPr>
        <w:rPr>
          <w:sz w:val="22"/>
          <w:szCs w:val="22"/>
        </w:rPr>
      </w:pPr>
      <w:r w:rsidRPr="00CF0D7F">
        <w:rPr>
          <w:sz w:val="22"/>
          <w:szCs w:val="22"/>
        </w:rPr>
        <w:t xml:space="preserve">Continued training for </w:t>
      </w:r>
      <w:r w:rsidR="00D008B1" w:rsidRPr="00CF0D7F">
        <w:rPr>
          <w:sz w:val="22"/>
          <w:szCs w:val="22"/>
        </w:rPr>
        <w:t xml:space="preserve">Structured Judgement Reviewers. </w:t>
      </w:r>
    </w:p>
    <w:p w:rsidR="00CF0D7F" w:rsidRDefault="00CF0D7F" w:rsidP="00CF0D7F">
      <w:pPr>
        <w:pStyle w:val="Default"/>
        <w:rPr>
          <w:color w:val="auto"/>
          <w:sz w:val="22"/>
          <w:szCs w:val="22"/>
        </w:rPr>
      </w:pPr>
    </w:p>
    <w:p w:rsidR="00CF0D7F" w:rsidRPr="00CF0D7F" w:rsidRDefault="00CF0D7F" w:rsidP="00CF0D7F">
      <w:pPr>
        <w:pStyle w:val="Default"/>
        <w:rPr>
          <w:highlight w:val="yellow"/>
        </w:rPr>
        <w:sectPr w:rsidR="00CF0D7F" w:rsidRPr="00CF0D7F">
          <w:pgSz w:w="11906" w:h="16838"/>
          <w:pgMar w:top="1440" w:right="1440" w:bottom="1440" w:left="1440" w:header="708" w:footer="708" w:gutter="0"/>
          <w:cols w:space="708"/>
          <w:docGrid w:linePitch="360"/>
        </w:sectPr>
      </w:pPr>
    </w:p>
    <w:p w:rsidR="009567B7" w:rsidRDefault="009567B7" w:rsidP="009567B7">
      <w:pPr>
        <w:numPr>
          <w:ilvl w:val="0"/>
          <w:numId w:val="1"/>
        </w:numPr>
        <w:suppressAutoHyphens/>
        <w:spacing w:after="0" w:line="240" w:lineRule="auto"/>
        <w:ind w:left="567" w:hanging="567"/>
        <w:jc w:val="both"/>
        <w:rPr>
          <w:rFonts w:ascii="Arial" w:hAnsi="Arial" w:cs="Arial"/>
          <w:b/>
          <w:color w:val="0070C0"/>
          <w:sz w:val="32"/>
          <w:szCs w:val="32"/>
        </w:rPr>
      </w:pPr>
      <w:r>
        <w:rPr>
          <w:rFonts w:ascii="Arial" w:hAnsi="Arial" w:cs="Arial"/>
          <w:b/>
          <w:color w:val="0070C0"/>
          <w:sz w:val="32"/>
          <w:szCs w:val="32"/>
        </w:rPr>
        <w:lastRenderedPageBreak/>
        <w:t>Annual Cumulative Dashboard Report 201</w:t>
      </w:r>
      <w:r w:rsidR="00EA310E">
        <w:rPr>
          <w:rFonts w:ascii="Arial" w:hAnsi="Arial" w:cs="Arial"/>
          <w:b/>
          <w:color w:val="0070C0"/>
          <w:sz w:val="32"/>
          <w:szCs w:val="32"/>
        </w:rPr>
        <w:t>9</w:t>
      </w:r>
      <w:r>
        <w:rPr>
          <w:rFonts w:ascii="Arial" w:hAnsi="Arial" w:cs="Arial"/>
          <w:b/>
          <w:color w:val="0070C0"/>
          <w:sz w:val="32"/>
          <w:szCs w:val="32"/>
        </w:rPr>
        <w:t>/20</w:t>
      </w:r>
      <w:r w:rsidR="00EA310E">
        <w:rPr>
          <w:rFonts w:ascii="Arial" w:hAnsi="Arial" w:cs="Arial"/>
          <w:b/>
          <w:color w:val="0070C0"/>
          <w:sz w:val="32"/>
          <w:szCs w:val="32"/>
        </w:rPr>
        <w:t xml:space="preserve">20 </w:t>
      </w:r>
      <w:r>
        <w:rPr>
          <w:rFonts w:ascii="Arial" w:hAnsi="Arial" w:cs="Arial"/>
          <w:b/>
          <w:color w:val="0070C0"/>
          <w:sz w:val="32"/>
          <w:szCs w:val="32"/>
        </w:rPr>
        <w:t>c</w:t>
      </w:r>
      <w:r w:rsidR="00EA310E">
        <w:rPr>
          <w:rFonts w:ascii="Arial" w:hAnsi="Arial" w:cs="Arial"/>
          <w:b/>
          <w:color w:val="0070C0"/>
          <w:sz w:val="32"/>
          <w:szCs w:val="32"/>
        </w:rPr>
        <w:t>overing the period 1/4/2019 – 31</w:t>
      </w:r>
      <w:r>
        <w:rPr>
          <w:rFonts w:ascii="Arial" w:hAnsi="Arial" w:cs="Arial"/>
          <w:b/>
          <w:color w:val="0070C0"/>
          <w:sz w:val="32"/>
          <w:szCs w:val="32"/>
        </w:rPr>
        <w:t>/</w:t>
      </w:r>
      <w:r w:rsidR="00EA310E">
        <w:rPr>
          <w:rFonts w:ascii="Arial" w:hAnsi="Arial" w:cs="Arial"/>
          <w:b/>
          <w:color w:val="0070C0"/>
          <w:sz w:val="32"/>
          <w:szCs w:val="32"/>
        </w:rPr>
        <w:t>12</w:t>
      </w:r>
      <w:r>
        <w:rPr>
          <w:rFonts w:ascii="Arial" w:hAnsi="Arial" w:cs="Arial"/>
          <w:b/>
          <w:color w:val="0070C0"/>
          <w:sz w:val="32"/>
          <w:szCs w:val="32"/>
        </w:rPr>
        <w:t xml:space="preserve">/19  </w:t>
      </w:r>
    </w:p>
    <w:p w:rsidR="009567B7" w:rsidRDefault="009567B7" w:rsidP="009567B7">
      <w:pPr>
        <w:spacing w:line="240" w:lineRule="auto"/>
        <w:rPr>
          <w:rFonts w:ascii="Arial" w:hAnsi="Arial" w:cs="Arial"/>
        </w:rPr>
      </w:pPr>
    </w:p>
    <w:p w:rsidR="009567B7" w:rsidRPr="00CF0D7F" w:rsidRDefault="009567B7" w:rsidP="009567B7">
      <w:pPr>
        <w:spacing w:line="240" w:lineRule="auto"/>
        <w:rPr>
          <w:rFonts w:ascii="Arial" w:hAnsi="Arial" w:cs="Arial"/>
          <w:b/>
          <w:color w:val="0070C0"/>
        </w:rPr>
      </w:pPr>
      <w:r w:rsidRPr="00CF0D7F">
        <w:rPr>
          <w:rFonts w:ascii="Arial" w:hAnsi="Arial" w:cs="Arial"/>
          <w:b/>
        </w:rPr>
        <w:t>Table 1</w:t>
      </w:r>
      <w:r w:rsidRPr="00CF0D7F">
        <w:rPr>
          <w:rFonts w:ascii="Arial" w:hAnsi="Arial" w:cs="Arial"/>
          <w:b/>
          <w:noProof/>
        </w:rPr>
        <w:t xml:space="preserve"> Summary of 2019/20 Annual Death reporting by financial quarter to 3</w:t>
      </w:r>
      <w:r w:rsidR="00EA310E">
        <w:rPr>
          <w:rFonts w:ascii="Arial" w:hAnsi="Arial" w:cs="Arial"/>
          <w:b/>
          <w:noProof/>
        </w:rPr>
        <w:t>1</w:t>
      </w:r>
      <w:r w:rsidRPr="00CF0D7F">
        <w:rPr>
          <w:rFonts w:ascii="Arial" w:hAnsi="Arial" w:cs="Arial"/>
          <w:b/>
          <w:noProof/>
        </w:rPr>
        <w:t>/</w:t>
      </w:r>
      <w:r w:rsidR="00EA310E">
        <w:rPr>
          <w:rFonts w:ascii="Arial" w:hAnsi="Arial" w:cs="Arial"/>
          <w:b/>
          <w:noProof/>
        </w:rPr>
        <w:t>12</w:t>
      </w:r>
      <w:r w:rsidRPr="00CF0D7F">
        <w:rPr>
          <w:rFonts w:ascii="Arial" w:hAnsi="Arial" w:cs="Arial"/>
          <w:b/>
          <w:noProof/>
        </w:rPr>
        <w:t>/2019</w:t>
      </w:r>
    </w:p>
    <w:tbl>
      <w:tblPr>
        <w:tblW w:w="14424" w:type="dxa"/>
        <w:tblInd w:w="93" w:type="dxa"/>
        <w:tblLook w:val="04A0" w:firstRow="1" w:lastRow="0" w:firstColumn="1" w:lastColumn="0" w:noHBand="0" w:noVBand="1"/>
      </w:tblPr>
      <w:tblGrid>
        <w:gridCol w:w="7670"/>
        <w:gridCol w:w="1276"/>
        <w:gridCol w:w="1012"/>
        <w:gridCol w:w="1114"/>
        <w:gridCol w:w="1134"/>
        <w:gridCol w:w="1134"/>
        <w:gridCol w:w="1084"/>
      </w:tblGrid>
      <w:tr w:rsidR="00DC05FB" w:rsidRPr="008B79B3" w:rsidTr="00DC05FB">
        <w:trPr>
          <w:trHeight w:val="855"/>
        </w:trPr>
        <w:tc>
          <w:tcPr>
            <w:tcW w:w="7670" w:type="dxa"/>
            <w:tcBorders>
              <w:top w:val="single" w:sz="4" w:space="0" w:color="auto"/>
              <w:left w:val="single" w:sz="4" w:space="0" w:color="auto"/>
              <w:bottom w:val="single" w:sz="4" w:space="0" w:color="auto"/>
              <w:right w:val="nil"/>
            </w:tcBorders>
            <w:shd w:val="clear" w:color="auto" w:fill="auto"/>
            <w:vAlign w:val="center"/>
            <w:hideMark/>
          </w:tcPr>
          <w:p w:rsidR="00DC05FB" w:rsidRPr="008B79B3" w:rsidRDefault="00DC05FB" w:rsidP="00DC05FB">
            <w:pPr>
              <w:spacing w:after="0" w:line="240" w:lineRule="auto"/>
              <w:rPr>
                <w:rFonts w:ascii="Arial" w:eastAsia="Times New Roman" w:hAnsi="Arial" w:cs="Arial"/>
                <w:color w:val="FF0000"/>
              </w:rPr>
            </w:pPr>
          </w:p>
        </w:tc>
        <w:tc>
          <w:tcPr>
            <w:tcW w:w="1276"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2018/19 total</w:t>
            </w:r>
          </w:p>
        </w:tc>
        <w:tc>
          <w:tcPr>
            <w:tcW w:w="1012"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Quarter 1</w:t>
            </w:r>
            <w:r w:rsidRPr="008B79B3">
              <w:rPr>
                <w:rFonts w:ascii="Arial" w:eastAsia="Times New Roman" w:hAnsi="Arial" w:cs="Arial"/>
                <w:b/>
                <w:bCs/>
              </w:rPr>
              <w:br/>
              <w:t>2019/20</w:t>
            </w:r>
          </w:p>
        </w:tc>
        <w:tc>
          <w:tcPr>
            <w:tcW w:w="111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2 </w:t>
            </w:r>
            <w:r w:rsidRPr="008B79B3">
              <w:rPr>
                <w:rFonts w:ascii="Arial" w:eastAsia="Times New Roman" w:hAnsi="Arial" w:cs="Arial"/>
                <w:b/>
                <w:bCs/>
              </w:rPr>
              <w:br/>
              <w:t>2019/20</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3 </w:t>
            </w:r>
            <w:r w:rsidRPr="008B79B3">
              <w:rPr>
                <w:rFonts w:ascii="Arial" w:eastAsia="Times New Roman" w:hAnsi="Arial" w:cs="Arial"/>
                <w:b/>
                <w:bCs/>
              </w:rPr>
              <w:br/>
              <w:t>2019/20</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DC05FB" w:rsidP="00DC05FB">
            <w:pPr>
              <w:spacing w:after="0" w:line="240" w:lineRule="auto"/>
              <w:jc w:val="center"/>
              <w:rPr>
                <w:rFonts w:ascii="Arial" w:eastAsia="Times New Roman" w:hAnsi="Arial" w:cs="Arial"/>
                <w:b/>
                <w:bCs/>
              </w:rPr>
            </w:pPr>
            <w:r w:rsidRPr="008B79B3">
              <w:rPr>
                <w:rFonts w:ascii="Arial" w:eastAsia="Times New Roman" w:hAnsi="Arial" w:cs="Arial"/>
                <w:b/>
                <w:bCs/>
              </w:rPr>
              <w:t xml:space="preserve">Quarter 4 </w:t>
            </w:r>
            <w:r w:rsidRPr="008B79B3">
              <w:rPr>
                <w:rFonts w:ascii="Arial" w:eastAsia="Times New Roman" w:hAnsi="Arial" w:cs="Arial"/>
                <w:b/>
                <w:bCs/>
              </w:rPr>
              <w:br/>
              <w:t>2019/20</w:t>
            </w:r>
          </w:p>
        </w:tc>
        <w:tc>
          <w:tcPr>
            <w:tcW w:w="1084" w:type="dxa"/>
            <w:tcBorders>
              <w:top w:val="single" w:sz="4" w:space="0" w:color="auto"/>
              <w:left w:val="nil"/>
              <w:bottom w:val="single" w:sz="4" w:space="0" w:color="auto"/>
              <w:right w:val="single" w:sz="4" w:space="0" w:color="auto"/>
            </w:tcBorders>
            <w:shd w:val="clear" w:color="000000" w:fill="B4C6E7"/>
            <w:vAlign w:val="center"/>
            <w:hideMark/>
          </w:tcPr>
          <w:p w:rsidR="00DC05FB" w:rsidRPr="008B79B3" w:rsidRDefault="00E25185" w:rsidP="00DC05FB">
            <w:pPr>
              <w:spacing w:after="0" w:line="240" w:lineRule="auto"/>
              <w:jc w:val="center"/>
              <w:rPr>
                <w:rFonts w:ascii="Arial" w:eastAsia="Times New Roman" w:hAnsi="Arial" w:cs="Arial"/>
                <w:b/>
                <w:bCs/>
              </w:rPr>
            </w:pPr>
            <w:r w:rsidRPr="00E25185">
              <w:rPr>
                <w:rFonts w:ascii="Arial" w:eastAsia="Times New Roman" w:hAnsi="Arial" w:cs="Arial"/>
                <w:b/>
                <w:bCs/>
              </w:rPr>
              <w:t>2019/20 total to date</w:t>
            </w:r>
          </w:p>
        </w:tc>
      </w:tr>
      <w:tr w:rsidR="00E25185" w:rsidRPr="008B79B3" w:rsidTr="00E25185">
        <w:trPr>
          <w:trHeight w:val="828"/>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rPr>
                <w:rFonts w:ascii="Arial" w:eastAsia="Times New Roman" w:hAnsi="Arial" w:cs="Arial"/>
                <w:color w:val="000000"/>
              </w:rPr>
            </w:pPr>
            <w:r w:rsidRPr="008B79B3">
              <w:rPr>
                <w:rFonts w:ascii="Arial" w:eastAsia="Times New Roman" w:hAnsi="Arial" w:cs="Arial"/>
                <w:color w:val="000000"/>
              </w:rPr>
              <w:t>Total number of deaths reported on SWYPFT clinical systems where there has been system activity within 180 days of date of death*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jc w:val="center"/>
              <w:rPr>
                <w:rFonts w:ascii="Arial" w:eastAsia="Times New Roman" w:hAnsi="Arial" w:cs="Arial"/>
              </w:rPr>
            </w:pPr>
            <w:r w:rsidRPr="008B79B3">
              <w:rPr>
                <w:rFonts w:ascii="Arial" w:eastAsia="Times New Roman" w:hAnsi="Arial" w:cs="Arial"/>
              </w:rPr>
              <w:t>2583**</w:t>
            </w:r>
          </w:p>
        </w:tc>
        <w:tc>
          <w:tcPr>
            <w:tcW w:w="1012"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769</w:t>
            </w:r>
          </w:p>
        </w:tc>
        <w:tc>
          <w:tcPr>
            <w:tcW w:w="111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679</w:t>
            </w:r>
          </w:p>
        </w:tc>
        <w:tc>
          <w:tcPr>
            <w:tcW w:w="113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823</w:t>
            </w:r>
          </w:p>
        </w:tc>
        <w:tc>
          <w:tcPr>
            <w:tcW w:w="1134" w:type="dxa"/>
            <w:tcBorders>
              <w:top w:val="nil"/>
              <w:left w:val="nil"/>
              <w:bottom w:val="single" w:sz="4" w:space="0" w:color="auto"/>
              <w:right w:val="single" w:sz="4" w:space="0" w:color="auto"/>
            </w:tcBorders>
            <w:shd w:val="clear" w:color="000000" w:fill="BFBFBF"/>
            <w:vAlign w:val="center"/>
            <w:hideMark/>
          </w:tcPr>
          <w:p w:rsidR="00E25185" w:rsidRPr="008B79B3" w:rsidRDefault="00E25185" w:rsidP="00E25185">
            <w:pPr>
              <w:spacing w:after="0" w:line="240" w:lineRule="auto"/>
              <w:jc w:val="center"/>
              <w:rPr>
                <w:rFonts w:ascii="Arial" w:eastAsia="Times New Roman" w:hAnsi="Arial" w:cs="Arial"/>
              </w:rPr>
            </w:pPr>
          </w:p>
        </w:tc>
        <w:tc>
          <w:tcPr>
            <w:tcW w:w="108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2271</w:t>
            </w:r>
          </w:p>
        </w:tc>
      </w:tr>
      <w:tr w:rsidR="00E25185" w:rsidRPr="008B79B3" w:rsidTr="00E25185">
        <w:trPr>
          <w:trHeight w:val="540"/>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rPr>
                <w:rFonts w:ascii="Arial" w:eastAsia="Times New Roman" w:hAnsi="Arial" w:cs="Arial"/>
              </w:rPr>
            </w:pPr>
            <w:r w:rsidRPr="008B79B3">
              <w:rPr>
                <w:rFonts w:ascii="Arial" w:eastAsia="Times New Roman" w:hAnsi="Arial" w:cs="Arial"/>
              </w:rPr>
              <w:t xml:space="preserve">Total number of deaths reported on Datix by staff (by reported date, not date of death) </w:t>
            </w:r>
          </w:p>
        </w:tc>
        <w:tc>
          <w:tcPr>
            <w:tcW w:w="1276" w:type="dxa"/>
            <w:tcBorders>
              <w:top w:val="nil"/>
              <w:left w:val="nil"/>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jc w:val="center"/>
              <w:rPr>
                <w:rFonts w:ascii="Arial" w:eastAsia="Times New Roman" w:hAnsi="Arial" w:cs="Arial"/>
              </w:rPr>
            </w:pPr>
            <w:r w:rsidRPr="008B79B3">
              <w:rPr>
                <w:rFonts w:ascii="Arial" w:eastAsia="Times New Roman" w:hAnsi="Arial" w:cs="Arial"/>
              </w:rPr>
              <w:t>344</w:t>
            </w:r>
          </w:p>
        </w:tc>
        <w:tc>
          <w:tcPr>
            <w:tcW w:w="1012"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74</w:t>
            </w:r>
          </w:p>
        </w:tc>
        <w:tc>
          <w:tcPr>
            <w:tcW w:w="111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77</w:t>
            </w:r>
          </w:p>
        </w:tc>
        <w:tc>
          <w:tcPr>
            <w:tcW w:w="113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94</w:t>
            </w:r>
          </w:p>
        </w:tc>
        <w:tc>
          <w:tcPr>
            <w:tcW w:w="1134" w:type="dxa"/>
            <w:tcBorders>
              <w:top w:val="nil"/>
              <w:left w:val="nil"/>
              <w:bottom w:val="single" w:sz="4" w:space="0" w:color="auto"/>
              <w:right w:val="single" w:sz="4" w:space="0" w:color="auto"/>
            </w:tcBorders>
            <w:shd w:val="clear" w:color="000000" w:fill="BFBFBF"/>
            <w:vAlign w:val="center"/>
            <w:hideMark/>
          </w:tcPr>
          <w:p w:rsidR="00E25185" w:rsidRPr="008B79B3" w:rsidRDefault="00E25185" w:rsidP="00E25185">
            <w:pPr>
              <w:spacing w:after="0" w:line="240" w:lineRule="auto"/>
              <w:jc w:val="center"/>
              <w:rPr>
                <w:rFonts w:ascii="Arial" w:eastAsia="Times New Roman" w:hAnsi="Arial" w:cs="Arial"/>
              </w:rPr>
            </w:pPr>
          </w:p>
        </w:tc>
        <w:tc>
          <w:tcPr>
            <w:tcW w:w="108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245</w:t>
            </w:r>
          </w:p>
        </w:tc>
      </w:tr>
      <w:tr w:rsidR="00E25185" w:rsidRPr="008B79B3" w:rsidTr="00E25185">
        <w:trPr>
          <w:trHeight w:val="422"/>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rPr>
                <w:rFonts w:ascii="Arial" w:eastAsia="Times New Roman" w:hAnsi="Arial" w:cs="Arial"/>
                <w:color w:val="0D0D0D"/>
              </w:rPr>
            </w:pPr>
            <w:r w:rsidRPr="008B79B3">
              <w:rPr>
                <w:rFonts w:ascii="Arial" w:eastAsia="Times New Roman" w:hAnsi="Arial" w:cs="Arial"/>
                <w:color w:val="0D0D0D"/>
              </w:rPr>
              <w:t xml:space="preserve">Total number of deaths reviewed </w:t>
            </w:r>
          </w:p>
        </w:tc>
        <w:tc>
          <w:tcPr>
            <w:tcW w:w="1276" w:type="dxa"/>
            <w:tcBorders>
              <w:top w:val="nil"/>
              <w:left w:val="nil"/>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jc w:val="center"/>
              <w:rPr>
                <w:rFonts w:ascii="Arial" w:eastAsia="Times New Roman" w:hAnsi="Arial" w:cs="Arial"/>
              </w:rPr>
            </w:pPr>
            <w:r w:rsidRPr="008B79B3">
              <w:rPr>
                <w:rFonts w:ascii="Arial" w:eastAsia="Times New Roman" w:hAnsi="Arial" w:cs="Arial"/>
              </w:rPr>
              <w:t>344</w:t>
            </w:r>
          </w:p>
        </w:tc>
        <w:tc>
          <w:tcPr>
            <w:tcW w:w="1012"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74</w:t>
            </w:r>
          </w:p>
        </w:tc>
        <w:tc>
          <w:tcPr>
            <w:tcW w:w="111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77</w:t>
            </w:r>
          </w:p>
        </w:tc>
        <w:tc>
          <w:tcPr>
            <w:tcW w:w="113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94</w:t>
            </w:r>
          </w:p>
        </w:tc>
        <w:tc>
          <w:tcPr>
            <w:tcW w:w="1134" w:type="dxa"/>
            <w:tcBorders>
              <w:top w:val="nil"/>
              <w:left w:val="nil"/>
              <w:bottom w:val="single" w:sz="4" w:space="0" w:color="auto"/>
              <w:right w:val="single" w:sz="4" w:space="0" w:color="auto"/>
            </w:tcBorders>
            <w:shd w:val="clear" w:color="000000" w:fill="BFBFBF"/>
            <w:vAlign w:val="center"/>
            <w:hideMark/>
          </w:tcPr>
          <w:p w:rsidR="00E25185" w:rsidRPr="008B79B3" w:rsidRDefault="00E25185" w:rsidP="00E25185">
            <w:pPr>
              <w:spacing w:after="0" w:line="240" w:lineRule="auto"/>
              <w:jc w:val="center"/>
              <w:rPr>
                <w:rFonts w:ascii="Arial" w:eastAsia="Times New Roman" w:hAnsi="Arial" w:cs="Arial"/>
              </w:rPr>
            </w:pPr>
          </w:p>
        </w:tc>
        <w:tc>
          <w:tcPr>
            <w:tcW w:w="108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245</w:t>
            </w:r>
          </w:p>
        </w:tc>
      </w:tr>
      <w:tr w:rsidR="00E25185" w:rsidRPr="008B79B3" w:rsidTr="00E25185">
        <w:trPr>
          <w:trHeight w:val="415"/>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rPr>
                <w:rFonts w:ascii="Arial" w:eastAsia="Times New Roman" w:hAnsi="Arial" w:cs="Arial"/>
                <w:color w:val="0D0D0D"/>
              </w:rPr>
            </w:pPr>
            <w:r w:rsidRPr="008B79B3">
              <w:rPr>
                <w:rFonts w:ascii="Arial" w:eastAsia="Times New Roman" w:hAnsi="Arial" w:cs="Arial"/>
                <w:color w:val="0D0D0D"/>
              </w:rPr>
              <w:t xml:space="preserve">Total Number of deaths which were in scope </w:t>
            </w:r>
          </w:p>
        </w:tc>
        <w:tc>
          <w:tcPr>
            <w:tcW w:w="1276" w:type="dxa"/>
            <w:tcBorders>
              <w:top w:val="nil"/>
              <w:left w:val="nil"/>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jc w:val="center"/>
              <w:rPr>
                <w:rFonts w:ascii="Arial" w:eastAsia="Times New Roman" w:hAnsi="Arial" w:cs="Arial"/>
              </w:rPr>
            </w:pPr>
            <w:r w:rsidRPr="008B79B3">
              <w:rPr>
                <w:rFonts w:ascii="Arial" w:eastAsia="Times New Roman" w:hAnsi="Arial" w:cs="Arial"/>
              </w:rPr>
              <w:t>274</w:t>
            </w:r>
          </w:p>
        </w:tc>
        <w:tc>
          <w:tcPr>
            <w:tcW w:w="1012"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63</w:t>
            </w:r>
          </w:p>
        </w:tc>
        <w:tc>
          <w:tcPr>
            <w:tcW w:w="111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60</w:t>
            </w:r>
          </w:p>
        </w:tc>
        <w:tc>
          <w:tcPr>
            <w:tcW w:w="113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81</w:t>
            </w:r>
          </w:p>
        </w:tc>
        <w:tc>
          <w:tcPr>
            <w:tcW w:w="1134" w:type="dxa"/>
            <w:tcBorders>
              <w:top w:val="nil"/>
              <w:left w:val="nil"/>
              <w:bottom w:val="single" w:sz="4" w:space="0" w:color="auto"/>
              <w:right w:val="single" w:sz="4" w:space="0" w:color="auto"/>
            </w:tcBorders>
            <w:shd w:val="clear" w:color="000000" w:fill="BFBFBF"/>
            <w:vAlign w:val="center"/>
            <w:hideMark/>
          </w:tcPr>
          <w:p w:rsidR="00E25185" w:rsidRPr="008B79B3" w:rsidRDefault="00E25185" w:rsidP="00E25185">
            <w:pPr>
              <w:spacing w:after="0" w:line="240" w:lineRule="auto"/>
              <w:jc w:val="center"/>
              <w:rPr>
                <w:rFonts w:ascii="Arial" w:eastAsia="Times New Roman" w:hAnsi="Arial" w:cs="Arial"/>
              </w:rPr>
            </w:pPr>
          </w:p>
        </w:tc>
        <w:tc>
          <w:tcPr>
            <w:tcW w:w="108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204</w:t>
            </w:r>
          </w:p>
        </w:tc>
      </w:tr>
      <w:tr w:rsidR="00E25185" w:rsidRPr="008B79B3" w:rsidTr="00E25185">
        <w:trPr>
          <w:trHeight w:val="435"/>
        </w:trPr>
        <w:tc>
          <w:tcPr>
            <w:tcW w:w="767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5185" w:rsidRPr="008B79B3" w:rsidRDefault="00E25185" w:rsidP="00DC05FB">
            <w:pPr>
              <w:spacing w:after="0" w:line="240" w:lineRule="auto"/>
              <w:rPr>
                <w:rFonts w:ascii="Arial" w:eastAsia="Times New Roman" w:hAnsi="Arial" w:cs="Arial"/>
              </w:rPr>
            </w:pPr>
            <w:r w:rsidRPr="008B79B3">
              <w:rPr>
                <w:rFonts w:ascii="Arial" w:eastAsia="Times New Roman" w:hAnsi="Arial" w:cs="Arial"/>
              </w:rPr>
              <w:t xml:space="preserve">Total Number of deaths reported on Datix that were not in the Trust's scope </w:t>
            </w:r>
          </w:p>
        </w:tc>
        <w:tc>
          <w:tcPr>
            <w:tcW w:w="1276" w:type="dxa"/>
            <w:tcBorders>
              <w:top w:val="nil"/>
              <w:left w:val="nil"/>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jc w:val="center"/>
              <w:rPr>
                <w:rFonts w:ascii="Arial" w:eastAsia="Times New Roman" w:hAnsi="Arial" w:cs="Arial"/>
              </w:rPr>
            </w:pPr>
            <w:r w:rsidRPr="008B79B3">
              <w:rPr>
                <w:rFonts w:ascii="Arial" w:eastAsia="Times New Roman" w:hAnsi="Arial" w:cs="Arial"/>
              </w:rPr>
              <w:t>37</w:t>
            </w:r>
          </w:p>
        </w:tc>
        <w:tc>
          <w:tcPr>
            <w:tcW w:w="1012"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4</w:t>
            </w:r>
          </w:p>
        </w:tc>
        <w:tc>
          <w:tcPr>
            <w:tcW w:w="111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15</w:t>
            </w:r>
          </w:p>
        </w:tc>
        <w:tc>
          <w:tcPr>
            <w:tcW w:w="113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10</w:t>
            </w:r>
          </w:p>
        </w:tc>
        <w:tc>
          <w:tcPr>
            <w:tcW w:w="1134" w:type="dxa"/>
            <w:tcBorders>
              <w:top w:val="nil"/>
              <w:left w:val="nil"/>
              <w:bottom w:val="single" w:sz="4" w:space="0" w:color="auto"/>
              <w:right w:val="single" w:sz="4" w:space="0" w:color="auto"/>
            </w:tcBorders>
            <w:shd w:val="clear" w:color="000000" w:fill="BFBFBF"/>
            <w:vAlign w:val="center"/>
            <w:hideMark/>
          </w:tcPr>
          <w:p w:rsidR="00E25185" w:rsidRPr="008B79B3" w:rsidRDefault="00E25185" w:rsidP="00E25185">
            <w:pPr>
              <w:spacing w:after="0" w:line="240" w:lineRule="auto"/>
              <w:jc w:val="center"/>
              <w:rPr>
                <w:rFonts w:ascii="Arial" w:eastAsia="Times New Roman" w:hAnsi="Arial" w:cs="Arial"/>
              </w:rPr>
            </w:pPr>
          </w:p>
        </w:tc>
        <w:tc>
          <w:tcPr>
            <w:tcW w:w="108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29</w:t>
            </w:r>
          </w:p>
        </w:tc>
      </w:tr>
      <w:tr w:rsidR="00E25185" w:rsidRPr="008B79B3" w:rsidTr="00E25185">
        <w:trPr>
          <w:trHeight w:val="554"/>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rPr>
                <w:rFonts w:ascii="Arial" w:eastAsia="Times New Roman" w:hAnsi="Arial" w:cs="Arial"/>
              </w:rPr>
            </w:pPr>
            <w:r w:rsidRPr="008B79B3">
              <w:rPr>
                <w:rFonts w:ascii="Arial" w:eastAsia="Times New Roman" w:hAnsi="Arial" w:cs="Arial"/>
              </w:rPr>
              <w:t xml:space="preserve">Total Number of reported deaths which were rejected following review, as not reportable or duplicated.  </w:t>
            </w:r>
          </w:p>
        </w:tc>
        <w:tc>
          <w:tcPr>
            <w:tcW w:w="1276" w:type="dxa"/>
            <w:tcBorders>
              <w:top w:val="nil"/>
              <w:left w:val="nil"/>
              <w:bottom w:val="single" w:sz="4" w:space="0" w:color="auto"/>
              <w:right w:val="single" w:sz="4" w:space="0" w:color="auto"/>
            </w:tcBorders>
            <w:shd w:val="clear" w:color="auto" w:fill="auto"/>
            <w:vAlign w:val="center"/>
            <w:hideMark/>
          </w:tcPr>
          <w:p w:rsidR="00E25185" w:rsidRPr="008B79B3" w:rsidRDefault="00E25185" w:rsidP="00DC05FB">
            <w:pPr>
              <w:spacing w:after="0" w:line="240" w:lineRule="auto"/>
              <w:jc w:val="center"/>
              <w:rPr>
                <w:rFonts w:ascii="Arial" w:eastAsia="Times New Roman" w:hAnsi="Arial" w:cs="Arial"/>
              </w:rPr>
            </w:pPr>
            <w:r w:rsidRPr="008B79B3">
              <w:rPr>
                <w:rFonts w:ascii="Arial" w:eastAsia="Times New Roman" w:hAnsi="Arial" w:cs="Arial"/>
              </w:rPr>
              <w:t>33</w:t>
            </w:r>
          </w:p>
        </w:tc>
        <w:tc>
          <w:tcPr>
            <w:tcW w:w="1012"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7</w:t>
            </w:r>
          </w:p>
        </w:tc>
        <w:tc>
          <w:tcPr>
            <w:tcW w:w="111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2</w:t>
            </w:r>
          </w:p>
        </w:tc>
        <w:tc>
          <w:tcPr>
            <w:tcW w:w="113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3</w:t>
            </w:r>
          </w:p>
        </w:tc>
        <w:tc>
          <w:tcPr>
            <w:tcW w:w="1134" w:type="dxa"/>
            <w:tcBorders>
              <w:top w:val="nil"/>
              <w:left w:val="nil"/>
              <w:bottom w:val="single" w:sz="4" w:space="0" w:color="auto"/>
              <w:right w:val="single" w:sz="4" w:space="0" w:color="auto"/>
            </w:tcBorders>
            <w:shd w:val="clear" w:color="000000" w:fill="BFBFBF"/>
            <w:vAlign w:val="center"/>
            <w:hideMark/>
          </w:tcPr>
          <w:p w:rsidR="00E25185" w:rsidRPr="008B79B3" w:rsidRDefault="00E25185" w:rsidP="00E25185">
            <w:pPr>
              <w:spacing w:after="0" w:line="240" w:lineRule="auto"/>
              <w:jc w:val="center"/>
              <w:rPr>
                <w:rFonts w:ascii="Arial" w:eastAsia="Times New Roman" w:hAnsi="Arial" w:cs="Arial"/>
              </w:rPr>
            </w:pPr>
          </w:p>
        </w:tc>
        <w:tc>
          <w:tcPr>
            <w:tcW w:w="1084" w:type="dxa"/>
            <w:tcBorders>
              <w:top w:val="nil"/>
              <w:left w:val="nil"/>
              <w:bottom w:val="single" w:sz="4" w:space="0" w:color="auto"/>
              <w:right w:val="single" w:sz="4" w:space="0" w:color="auto"/>
            </w:tcBorders>
            <w:shd w:val="clear" w:color="auto" w:fill="auto"/>
            <w:vAlign w:val="center"/>
            <w:hideMark/>
          </w:tcPr>
          <w:p w:rsidR="00E25185" w:rsidRPr="00E25185" w:rsidRDefault="00E25185" w:rsidP="00E25185">
            <w:pPr>
              <w:spacing w:after="0" w:line="240" w:lineRule="auto"/>
              <w:jc w:val="center"/>
              <w:rPr>
                <w:rFonts w:ascii="Arial" w:eastAsia="Times New Roman" w:hAnsi="Arial" w:cs="Arial"/>
              </w:rPr>
            </w:pPr>
            <w:r w:rsidRPr="00E25185">
              <w:rPr>
                <w:rFonts w:ascii="Arial" w:eastAsia="Times New Roman" w:hAnsi="Arial" w:cs="Arial"/>
              </w:rPr>
              <w:t>12</w:t>
            </w:r>
          </w:p>
        </w:tc>
      </w:tr>
    </w:tbl>
    <w:p w:rsidR="008B79B3" w:rsidRDefault="008B79B3" w:rsidP="009567B7">
      <w:pPr>
        <w:spacing w:line="240" w:lineRule="auto"/>
        <w:ind w:right="-359"/>
        <w:rPr>
          <w:rFonts w:ascii="Arial" w:hAnsi="Arial" w:cs="Arial"/>
          <w:vertAlign w:val="superscript"/>
        </w:rPr>
      </w:pPr>
    </w:p>
    <w:p w:rsidR="009567B7" w:rsidRDefault="00DC05FB" w:rsidP="009567B7">
      <w:pPr>
        <w:spacing w:line="240" w:lineRule="auto"/>
        <w:ind w:right="-359"/>
        <w:rPr>
          <w:rFonts w:ascii="Arial" w:hAnsi="Arial" w:cs="Arial"/>
          <w:noProof/>
        </w:rPr>
      </w:pPr>
      <w:r w:rsidRPr="006D1D0F">
        <w:rPr>
          <w:rFonts w:ascii="Arial" w:hAnsi="Arial" w:cs="Arial"/>
          <w:sz w:val="24"/>
          <w:szCs w:val="24"/>
          <w:vertAlign w:val="superscript"/>
        </w:rPr>
        <w:t>**</w:t>
      </w:r>
      <w:r w:rsidR="009567B7" w:rsidRPr="00DC05FB">
        <w:rPr>
          <w:rFonts w:ascii="Arial" w:hAnsi="Arial" w:cs="Arial"/>
          <w:noProof/>
        </w:rPr>
        <w:t>Data extracted from Business Intelligence and Datix risk management systems. Data is refreshed each quarter so figures may differ from previous reports.     Data changes where records may have been amended or added within live systems. Dashboard format and content as agreed by Northern Alliance group</w:t>
      </w:r>
    </w:p>
    <w:p w:rsidR="00DC05FB" w:rsidRPr="00DC05FB" w:rsidRDefault="00DC05FB" w:rsidP="00DC05FB">
      <w:pPr>
        <w:spacing w:line="240" w:lineRule="auto"/>
        <w:ind w:right="-359"/>
        <w:rPr>
          <w:rFonts w:ascii="Arial" w:hAnsi="Arial" w:cs="Arial"/>
          <w:highlight w:val="yellow"/>
        </w:rPr>
      </w:pPr>
      <w:r w:rsidRPr="00DC05FB">
        <w:rPr>
          <w:rFonts w:ascii="Arial" w:hAnsi="Arial" w:cs="Arial"/>
        </w:rPr>
        <w:t>* since this figure was run, the data source is now solely from SystmOne, therefore figures will have increased due to improved flow of data. For the purposes of this report and data contained in Quality Accounts</w:t>
      </w:r>
      <w:r w:rsidR="00E25185">
        <w:rPr>
          <w:rFonts w:ascii="Arial" w:hAnsi="Arial" w:cs="Arial"/>
        </w:rPr>
        <w:t>,</w:t>
      </w:r>
      <w:r w:rsidRPr="00DC05FB">
        <w:rPr>
          <w:rFonts w:ascii="Arial" w:hAnsi="Arial" w:cs="Arial"/>
        </w:rPr>
        <w:t xml:space="preserve"> the total for 2018/19 has not been refreshed.</w:t>
      </w:r>
    </w:p>
    <w:p w:rsidR="00DC05FB" w:rsidRPr="00DC05FB" w:rsidRDefault="00DC05FB" w:rsidP="009567B7">
      <w:pPr>
        <w:spacing w:line="240" w:lineRule="auto"/>
        <w:ind w:right="-359"/>
        <w:rPr>
          <w:rFonts w:ascii="Arial" w:hAnsi="Arial" w:cs="Arial"/>
          <w:noProof/>
        </w:rPr>
      </w:pPr>
    </w:p>
    <w:p w:rsidR="00DC05FB" w:rsidRDefault="00DC05FB">
      <w:pPr>
        <w:rPr>
          <w:rFonts w:ascii="Arial" w:hAnsi="Arial" w:cs="Arial"/>
          <w:noProof/>
        </w:rPr>
      </w:pPr>
      <w:r>
        <w:rPr>
          <w:rFonts w:ascii="Arial" w:hAnsi="Arial" w:cs="Arial"/>
          <w:noProof/>
        </w:rPr>
        <w:br w:type="page"/>
      </w:r>
    </w:p>
    <w:p w:rsidR="00DC05FB" w:rsidRPr="00CF0D7F" w:rsidRDefault="00DC05FB" w:rsidP="00DC05FB">
      <w:pPr>
        <w:spacing w:line="240" w:lineRule="auto"/>
        <w:ind w:right="-1732"/>
        <w:rPr>
          <w:rFonts w:ascii="Arial" w:hAnsi="Arial" w:cs="Arial"/>
          <w:b/>
          <w:noProof/>
        </w:rPr>
      </w:pPr>
      <w:r w:rsidRPr="00CF0D7F">
        <w:rPr>
          <w:rFonts w:ascii="Arial" w:hAnsi="Arial" w:cs="Arial"/>
          <w:b/>
          <w:noProof/>
        </w:rPr>
        <w:lastRenderedPageBreak/>
        <w:t>Table 2 Breakdown of the total number of deaths reviewed by service area by financial quarter up to 30/9/2019</w:t>
      </w:r>
    </w:p>
    <w:tbl>
      <w:tblPr>
        <w:tblW w:w="14280" w:type="dxa"/>
        <w:tblInd w:w="93" w:type="dxa"/>
        <w:tblLayout w:type="fixed"/>
        <w:tblLook w:val="04A0" w:firstRow="1" w:lastRow="0" w:firstColumn="1" w:lastColumn="0" w:noHBand="0" w:noVBand="1"/>
      </w:tblPr>
      <w:tblGrid>
        <w:gridCol w:w="1584"/>
        <w:gridCol w:w="1587"/>
        <w:gridCol w:w="1587"/>
        <w:gridCol w:w="1587"/>
        <w:gridCol w:w="1587"/>
        <w:gridCol w:w="1587"/>
        <w:gridCol w:w="1587"/>
        <w:gridCol w:w="1587"/>
        <w:gridCol w:w="1587"/>
      </w:tblGrid>
      <w:tr w:rsidR="00E25185" w:rsidRPr="008B79B3" w:rsidTr="00E25185">
        <w:trPr>
          <w:trHeight w:val="1244"/>
        </w:trPr>
        <w:tc>
          <w:tcPr>
            <w:tcW w:w="1584"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25185" w:rsidRDefault="00E25185" w:rsidP="00E25185">
            <w:pPr>
              <w:spacing w:after="0" w:line="240" w:lineRule="auto"/>
              <w:jc w:val="center"/>
              <w:rPr>
                <w:rFonts w:ascii="Arial" w:hAnsi="Arial" w:cs="Arial"/>
                <w:sz w:val="24"/>
                <w:szCs w:val="24"/>
              </w:rPr>
            </w:pPr>
            <w:r>
              <w:rPr>
                <w:rFonts w:ascii="Arial" w:hAnsi="Arial" w:cs="Arial"/>
              </w:rPr>
              <w:t>Total Number of Deaths reviewed</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rsidR="00E25185" w:rsidRDefault="00E25185" w:rsidP="00E25185">
            <w:pPr>
              <w:spacing w:after="0" w:line="240" w:lineRule="auto"/>
              <w:jc w:val="center"/>
              <w:rPr>
                <w:rFonts w:ascii="Arial" w:hAnsi="Arial" w:cs="Arial"/>
                <w:sz w:val="24"/>
                <w:szCs w:val="24"/>
              </w:rPr>
            </w:pPr>
            <w:r>
              <w:rPr>
                <w:rFonts w:ascii="Arial" w:hAnsi="Arial" w:cs="Arial"/>
              </w:rPr>
              <w:t xml:space="preserve">Mental Health Community </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rsidR="00E25185" w:rsidRDefault="00E25185" w:rsidP="00E25185">
            <w:pPr>
              <w:spacing w:after="0" w:line="240" w:lineRule="auto"/>
              <w:jc w:val="center"/>
              <w:rPr>
                <w:rFonts w:ascii="Arial" w:hAnsi="Arial" w:cs="Arial"/>
                <w:sz w:val="24"/>
                <w:szCs w:val="24"/>
              </w:rPr>
            </w:pPr>
            <w:r>
              <w:rPr>
                <w:rFonts w:ascii="Arial" w:hAnsi="Arial" w:cs="Arial"/>
              </w:rPr>
              <w:t>Mental Health Inpatient</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rsidR="00E25185" w:rsidRDefault="00E25185" w:rsidP="00E25185">
            <w:pPr>
              <w:spacing w:after="0" w:line="240" w:lineRule="auto"/>
              <w:jc w:val="center"/>
              <w:rPr>
                <w:rFonts w:ascii="Arial" w:hAnsi="Arial" w:cs="Arial"/>
                <w:sz w:val="24"/>
                <w:szCs w:val="24"/>
              </w:rPr>
            </w:pPr>
            <w:r>
              <w:rPr>
                <w:rFonts w:ascii="Arial" w:hAnsi="Arial" w:cs="Arial"/>
              </w:rPr>
              <w:t>General Community</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rsidR="00E25185" w:rsidRDefault="00E25185" w:rsidP="00E25185">
            <w:pPr>
              <w:spacing w:after="0" w:line="240" w:lineRule="auto"/>
              <w:jc w:val="center"/>
              <w:rPr>
                <w:rFonts w:ascii="Arial" w:hAnsi="Arial" w:cs="Arial"/>
                <w:sz w:val="24"/>
                <w:szCs w:val="24"/>
              </w:rPr>
            </w:pPr>
            <w:r>
              <w:rPr>
                <w:rFonts w:ascii="Arial" w:hAnsi="Arial" w:cs="Arial"/>
              </w:rPr>
              <w:t>General Community Inpatient</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rsidR="00E25185" w:rsidRDefault="00E25185" w:rsidP="00E25185">
            <w:pPr>
              <w:spacing w:after="0" w:line="240" w:lineRule="auto"/>
              <w:jc w:val="center"/>
              <w:rPr>
                <w:rFonts w:ascii="Arial" w:hAnsi="Arial" w:cs="Arial"/>
                <w:sz w:val="24"/>
                <w:szCs w:val="24"/>
              </w:rPr>
            </w:pPr>
            <w:r>
              <w:rPr>
                <w:rFonts w:ascii="Arial" w:hAnsi="Arial" w:cs="Arial"/>
              </w:rPr>
              <w:t>Specialist Services Learning  Disability</w:t>
            </w:r>
          </w:p>
        </w:tc>
        <w:tc>
          <w:tcPr>
            <w:tcW w:w="1587" w:type="dxa"/>
            <w:tcBorders>
              <w:top w:val="single" w:sz="4" w:space="0" w:color="auto"/>
              <w:left w:val="nil"/>
              <w:bottom w:val="single" w:sz="4" w:space="0" w:color="auto"/>
              <w:right w:val="single" w:sz="4" w:space="0" w:color="auto"/>
            </w:tcBorders>
            <w:shd w:val="clear" w:color="000000" w:fill="B4C6E7"/>
            <w:vAlign w:val="center"/>
            <w:hideMark/>
          </w:tcPr>
          <w:p w:rsidR="00E25185" w:rsidRDefault="00E25185" w:rsidP="00E25185">
            <w:pPr>
              <w:spacing w:after="0" w:line="240" w:lineRule="auto"/>
              <w:jc w:val="center"/>
              <w:rPr>
                <w:rFonts w:ascii="Arial" w:hAnsi="Arial" w:cs="Arial"/>
                <w:sz w:val="24"/>
                <w:szCs w:val="24"/>
              </w:rPr>
            </w:pPr>
            <w:r>
              <w:rPr>
                <w:rFonts w:ascii="Arial" w:hAnsi="Arial" w:cs="Arial"/>
              </w:rPr>
              <w:t>Specialist Services CAMHS</w:t>
            </w:r>
          </w:p>
        </w:tc>
        <w:tc>
          <w:tcPr>
            <w:tcW w:w="1587" w:type="dxa"/>
            <w:tcBorders>
              <w:top w:val="single" w:sz="4" w:space="0" w:color="auto"/>
              <w:left w:val="nil"/>
              <w:bottom w:val="single" w:sz="4" w:space="0" w:color="auto"/>
              <w:right w:val="single" w:sz="4" w:space="0" w:color="auto"/>
            </w:tcBorders>
            <w:shd w:val="clear" w:color="000000" w:fill="B4C6E7"/>
            <w:vAlign w:val="center"/>
          </w:tcPr>
          <w:p w:rsidR="00E25185" w:rsidRDefault="00E25185" w:rsidP="00E25185">
            <w:pPr>
              <w:spacing w:after="0" w:line="240" w:lineRule="auto"/>
              <w:jc w:val="center"/>
              <w:rPr>
                <w:rFonts w:ascii="Arial" w:hAnsi="Arial" w:cs="Arial"/>
                <w:sz w:val="24"/>
                <w:szCs w:val="24"/>
              </w:rPr>
            </w:pPr>
            <w:r>
              <w:rPr>
                <w:rFonts w:ascii="Arial" w:hAnsi="Arial" w:cs="Arial"/>
              </w:rPr>
              <w:t>Forensic Services</w:t>
            </w:r>
          </w:p>
        </w:tc>
        <w:tc>
          <w:tcPr>
            <w:tcW w:w="1587" w:type="dxa"/>
            <w:tcBorders>
              <w:top w:val="single" w:sz="4" w:space="0" w:color="auto"/>
              <w:left w:val="nil"/>
              <w:bottom w:val="single" w:sz="4" w:space="0" w:color="auto"/>
              <w:right w:val="single" w:sz="4" w:space="0" w:color="auto"/>
            </w:tcBorders>
            <w:shd w:val="clear" w:color="000000" w:fill="B4C6E7"/>
            <w:vAlign w:val="center"/>
          </w:tcPr>
          <w:p w:rsidR="00E25185" w:rsidRDefault="00E25185" w:rsidP="00E25185">
            <w:pPr>
              <w:spacing w:after="0" w:line="240" w:lineRule="auto"/>
              <w:jc w:val="center"/>
              <w:rPr>
                <w:rFonts w:ascii="Arial" w:hAnsi="Arial" w:cs="Arial"/>
                <w:sz w:val="24"/>
                <w:szCs w:val="24"/>
              </w:rPr>
            </w:pPr>
            <w:r>
              <w:rPr>
                <w:rFonts w:ascii="Arial" w:hAnsi="Arial" w:cs="Arial"/>
              </w:rPr>
              <w:t>Specialist Services ADHD</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Q1</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63</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45</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3</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3</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12</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Q2</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60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39</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4</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3</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14</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Q3</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81</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66</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5</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9</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1</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Q4</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c>
          <w:tcPr>
            <w:tcW w:w="1587" w:type="dxa"/>
            <w:tcBorders>
              <w:top w:val="single" w:sz="4" w:space="0" w:color="auto"/>
              <w:left w:val="nil"/>
              <w:bottom w:val="single" w:sz="4" w:space="0" w:color="auto"/>
              <w:right w:val="single" w:sz="4" w:space="0" w:color="auto"/>
            </w:tcBorders>
            <w:vAlign w:val="bottom"/>
          </w:tcPr>
          <w:p w:rsidR="00E25185" w:rsidRDefault="00E25185" w:rsidP="00E25185">
            <w:pPr>
              <w:spacing w:after="0" w:line="240" w:lineRule="auto"/>
              <w:jc w:val="center"/>
              <w:rPr>
                <w:rFonts w:ascii="Arial" w:hAnsi="Arial" w:cs="Arial"/>
                <w:color w:val="000000"/>
                <w:sz w:val="24"/>
                <w:szCs w:val="24"/>
              </w:rPr>
            </w:pPr>
            <w:r>
              <w:rPr>
                <w:rFonts w:ascii="Arial" w:hAnsi="Arial" w:cs="Arial"/>
                <w:color w:val="000000"/>
              </w:rPr>
              <w:t>YTD</w:t>
            </w:r>
          </w:p>
        </w:tc>
      </w:tr>
      <w:tr w:rsidR="00E25185" w:rsidRPr="008B79B3" w:rsidTr="00E25185">
        <w:trPr>
          <w:trHeight w:val="402"/>
        </w:trPr>
        <w:tc>
          <w:tcPr>
            <w:tcW w:w="1584"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204</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150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12</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6</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35</w:t>
            </w:r>
          </w:p>
        </w:tc>
        <w:tc>
          <w:tcPr>
            <w:tcW w:w="1587" w:type="dxa"/>
            <w:tcBorders>
              <w:top w:val="single" w:sz="4" w:space="0" w:color="auto"/>
              <w:left w:val="nil"/>
              <w:bottom w:val="single" w:sz="4" w:space="0" w:color="auto"/>
              <w:right w:val="single" w:sz="4" w:space="0" w:color="auto"/>
            </w:tcBorders>
            <w:shd w:val="clear" w:color="000000" w:fill="B4C6E7"/>
            <w:noWrap/>
            <w:vAlign w:val="bottom"/>
            <w:hideMark/>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1</w:t>
            </w:r>
          </w:p>
        </w:tc>
        <w:tc>
          <w:tcPr>
            <w:tcW w:w="1587" w:type="dxa"/>
            <w:tcBorders>
              <w:top w:val="single" w:sz="4" w:space="0" w:color="auto"/>
              <w:left w:val="nil"/>
              <w:bottom w:val="single" w:sz="4" w:space="0" w:color="auto"/>
              <w:right w:val="single" w:sz="4" w:space="0" w:color="auto"/>
            </w:tcBorders>
            <w:shd w:val="clear" w:color="000000" w:fill="B4C6E7"/>
            <w:vAlign w:val="bottom"/>
          </w:tcPr>
          <w:p w:rsidR="00E25185" w:rsidRDefault="00E25185" w:rsidP="00E25185">
            <w:pPr>
              <w:spacing w:after="0" w:line="240" w:lineRule="auto"/>
              <w:jc w:val="center"/>
              <w:rPr>
                <w:rFonts w:ascii="Arial" w:hAnsi="Arial" w:cs="Arial"/>
                <w:b/>
                <w:bCs/>
                <w:color w:val="000000"/>
                <w:sz w:val="24"/>
                <w:szCs w:val="24"/>
              </w:rPr>
            </w:pPr>
            <w:r>
              <w:rPr>
                <w:rFonts w:ascii="Arial" w:hAnsi="Arial" w:cs="Arial"/>
                <w:b/>
                <w:bCs/>
                <w:color w:val="000000"/>
              </w:rPr>
              <w:t>0</w:t>
            </w:r>
          </w:p>
        </w:tc>
      </w:tr>
    </w:tbl>
    <w:p w:rsidR="009567B7" w:rsidRDefault="009567B7" w:rsidP="009567B7">
      <w:pPr>
        <w:spacing w:line="240" w:lineRule="auto"/>
        <w:ind w:right="-1732"/>
        <w:rPr>
          <w:rFonts w:ascii="Arial" w:hAnsi="Arial" w:cs="Arial"/>
          <w:noProof/>
          <w:highlight w:val="yellow"/>
        </w:rPr>
      </w:pPr>
    </w:p>
    <w:p w:rsidR="009567B7" w:rsidRDefault="009567B7" w:rsidP="009567B7">
      <w:pPr>
        <w:spacing w:line="240" w:lineRule="auto"/>
        <w:ind w:right="-1732"/>
        <w:rPr>
          <w:rFonts w:ascii="Arial" w:hAnsi="Arial" w:cs="Arial"/>
          <w:noProof/>
          <w:highlight w:val="yellow"/>
        </w:rPr>
      </w:pPr>
    </w:p>
    <w:p w:rsidR="009567B7" w:rsidRDefault="009567B7" w:rsidP="009567B7">
      <w:pPr>
        <w:spacing w:line="240" w:lineRule="auto"/>
        <w:ind w:right="-1732"/>
        <w:rPr>
          <w:rFonts w:ascii="Arial" w:hAnsi="Arial" w:cs="Arial"/>
          <w:noProof/>
          <w:highlight w:val="yellow"/>
        </w:rPr>
      </w:pPr>
    </w:p>
    <w:p w:rsidR="009567B7" w:rsidRDefault="009567B7" w:rsidP="009567B7">
      <w:pPr>
        <w:spacing w:line="240" w:lineRule="auto"/>
        <w:ind w:right="-1732"/>
        <w:rPr>
          <w:rFonts w:ascii="Arial" w:hAnsi="Arial" w:cs="Arial"/>
          <w:noProof/>
          <w:highlight w:val="yellow"/>
        </w:rPr>
      </w:pPr>
    </w:p>
    <w:p w:rsidR="00DC05FB" w:rsidRDefault="00DC05FB" w:rsidP="009567B7">
      <w:pPr>
        <w:spacing w:line="240" w:lineRule="auto"/>
        <w:ind w:right="-1732"/>
        <w:rPr>
          <w:rFonts w:ascii="Arial" w:hAnsi="Arial" w:cs="Arial"/>
          <w:noProof/>
          <w:highlight w:val="yellow"/>
        </w:rPr>
      </w:pPr>
    </w:p>
    <w:p w:rsidR="00DC05FB" w:rsidRDefault="00DC05FB" w:rsidP="009567B7">
      <w:pPr>
        <w:spacing w:line="240" w:lineRule="auto"/>
        <w:ind w:right="-1732"/>
        <w:rPr>
          <w:rFonts w:ascii="Arial" w:hAnsi="Arial" w:cs="Arial"/>
          <w:noProof/>
          <w:highlight w:val="yellow"/>
        </w:rPr>
      </w:pPr>
    </w:p>
    <w:p w:rsidR="00D76D13" w:rsidRDefault="00D76D13" w:rsidP="009567B7">
      <w:pPr>
        <w:spacing w:line="240" w:lineRule="auto"/>
        <w:ind w:right="-1732"/>
        <w:rPr>
          <w:rFonts w:ascii="Arial" w:hAnsi="Arial" w:cs="Arial"/>
          <w:noProof/>
          <w:highlight w:val="yellow"/>
        </w:rPr>
      </w:pPr>
    </w:p>
    <w:p w:rsidR="00D76D13" w:rsidRDefault="00D76D13" w:rsidP="009567B7">
      <w:pPr>
        <w:spacing w:line="240" w:lineRule="auto"/>
        <w:ind w:right="-1732"/>
        <w:rPr>
          <w:rFonts w:ascii="Arial" w:hAnsi="Arial" w:cs="Arial"/>
          <w:noProof/>
          <w:highlight w:val="yellow"/>
        </w:rPr>
      </w:pPr>
    </w:p>
    <w:p w:rsidR="008B79B3" w:rsidRDefault="008B79B3" w:rsidP="009567B7">
      <w:pPr>
        <w:spacing w:line="240" w:lineRule="auto"/>
        <w:ind w:right="-1732"/>
        <w:rPr>
          <w:rFonts w:ascii="Arial" w:hAnsi="Arial" w:cs="Arial"/>
          <w:noProof/>
          <w:highlight w:val="yellow"/>
        </w:rPr>
      </w:pPr>
    </w:p>
    <w:p w:rsidR="00DC05FB" w:rsidRPr="00CF0D7F" w:rsidRDefault="00DC05FB" w:rsidP="009567B7">
      <w:pPr>
        <w:spacing w:line="240" w:lineRule="auto"/>
        <w:ind w:right="-1732"/>
        <w:rPr>
          <w:rFonts w:ascii="Arial" w:hAnsi="Arial" w:cs="Arial"/>
          <w:b/>
          <w:noProof/>
        </w:rPr>
      </w:pPr>
      <w:r w:rsidRPr="00CF0D7F">
        <w:rPr>
          <w:rFonts w:ascii="Arial" w:hAnsi="Arial" w:cs="Arial"/>
          <w:b/>
          <w:noProof/>
        </w:rPr>
        <w:lastRenderedPageBreak/>
        <w:t>Table 3: Summary of total number of in scope deaths and Review process (excluding Learning Disability deaths)</w:t>
      </w:r>
    </w:p>
    <w:p w:rsidR="00E25185" w:rsidRDefault="00E25185" w:rsidP="00E25185">
      <w:pPr>
        <w:ind w:left="-567"/>
        <w:rPr>
          <w:rFonts w:ascii="Arial" w:eastAsia="Times New Roman" w:hAnsi="Arial" w:cs="Arial"/>
          <w:b/>
          <w:bCs/>
          <w:sz w:val="24"/>
          <w:szCs w:val="24"/>
        </w:rPr>
      </w:pPr>
      <w:r>
        <w:rPr>
          <w:noProof/>
        </w:rPr>
        <w:drawing>
          <wp:inline distT="0" distB="0" distL="0" distR="0" wp14:anchorId="120E8454" wp14:editId="51F745A2">
            <wp:extent cx="9960097" cy="282202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778" t="42857" r="31524" b="23645"/>
                    <a:stretch/>
                  </pic:blipFill>
                  <pic:spPr bwMode="auto">
                    <a:xfrm>
                      <a:off x="0" y="0"/>
                      <a:ext cx="9991581" cy="2830948"/>
                    </a:xfrm>
                    <a:prstGeom prst="rect">
                      <a:avLst/>
                    </a:prstGeom>
                    <a:ln>
                      <a:noFill/>
                    </a:ln>
                    <a:extLst>
                      <a:ext uri="{53640926-AAD7-44D8-BBD7-CCE9431645EC}">
                        <a14:shadowObscured xmlns:a14="http://schemas.microsoft.com/office/drawing/2010/main"/>
                      </a:ext>
                    </a:extLst>
                  </pic:spPr>
                </pic:pic>
              </a:graphicData>
            </a:graphic>
          </wp:inline>
        </w:drawing>
      </w:r>
    </w:p>
    <w:p w:rsidR="00E25185" w:rsidRDefault="00E25185">
      <w:pPr>
        <w:rPr>
          <w:rFonts w:ascii="Arial" w:eastAsia="Times New Roman" w:hAnsi="Arial" w:cs="Arial"/>
          <w:b/>
          <w:bCs/>
          <w:sz w:val="24"/>
          <w:szCs w:val="24"/>
        </w:rPr>
      </w:pPr>
      <w:r>
        <w:rPr>
          <w:rFonts w:ascii="Arial" w:eastAsia="Times New Roman" w:hAnsi="Arial" w:cs="Arial"/>
          <w:b/>
          <w:bCs/>
          <w:sz w:val="24"/>
          <w:szCs w:val="24"/>
        </w:rPr>
        <w:br w:type="page"/>
      </w:r>
    </w:p>
    <w:p w:rsidR="008B79B3" w:rsidRPr="008B79B3" w:rsidRDefault="008B79B3" w:rsidP="00E25185">
      <w:pPr>
        <w:ind w:left="-567"/>
        <w:rPr>
          <w:rFonts w:ascii="Arial" w:eastAsia="Times New Roman" w:hAnsi="Arial" w:cs="Arial"/>
          <w:bCs/>
          <w:sz w:val="24"/>
          <w:szCs w:val="24"/>
        </w:rPr>
      </w:pPr>
      <w:r w:rsidRPr="008B79B3">
        <w:rPr>
          <w:rFonts w:ascii="Arial" w:eastAsia="Times New Roman" w:hAnsi="Arial" w:cs="Arial"/>
          <w:b/>
          <w:bCs/>
          <w:sz w:val="24"/>
          <w:szCs w:val="24"/>
        </w:rPr>
        <w:lastRenderedPageBreak/>
        <w:t xml:space="preserve">Table 4: Summary of total number of Learning Disability deaths which were in scope </w:t>
      </w:r>
    </w:p>
    <w:p w:rsidR="009567B7" w:rsidRDefault="00E25185" w:rsidP="00E25185">
      <w:pPr>
        <w:spacing w:line="240" w:lineRule="auto"/>
        <w:ind w:left="-567" w:right="-1732"/>
        <w:rPr>
          <w:rFonts w:ascii="Arial" w:hAnsi="Arial" w:cs="Arial"/>
          <w:noProof/>
          <w:highlight w:val="yellow"/>
        </w:rPr>
      </w:pPr>
      <w:r>
        <w:rPr>
          <w:noProof/>
        </w:rPr>
        <w:drawing>
          <wp:inline distT="0" distB="0" distL="0" distR="0" wp14:anchorId="16373DC2" wp14:editId="6048F026">
            <wp:extent cx="9954705" cy="32273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512" t="53202" r="37363" b="11823"/>
                    <a:stretch/>
                  </pic:blipFill>
                  <pic:spPr bwMode="auto">
                    <a:xfrm>
                      <a:off x="0" y="0"/>
                      <a:ext cx="9960756" cy="3229286"/>
                    </a:xfrm>
                    <a:prstGeom prst="rect">
                      <a:avLst/>
                    </a:prstGeom>
                    <a:ln>
                      <a:noFill/>
                    </a:ln>
                    <a:extLst>
                      <a:ext uri="{53640926-AAD7-44D8-BBD7-CCE9431645EC}">
                        <a14:shadowObscured xmlns:a14="http://schemas.microsoft.com/office/drawing/2010/main"/>
                      </a:ext>
                    </a:extLst>
                  </pic:spPr>
                </pic:pic>
              </a:graphicData>
            </a:graphic>
          </wp:inline>
        </w:drawing>
      </w:r>
    </w:p>
    <w:p w:rsidR="00D76D13" w:rsidRDefault="00D76D13" w:rsidP="009567B7">
      <w:pPr>
        <w:spacing w:line="240" w:lineRule="auto"/>
        <w:ind w:right="-1732"/>
        <w:rPr>
          <w:rFonts w:ascii="Arial" w:hAnsi="Arial" w:cs="Arial"/>
          <w:noProof/>
          <w:highlight w:val="yellow"/>
        </w:rPr>
        <w:sectPr w:rsidR="00D76D13" w:rsidSect="00D76D13">
          <w:footerReference w:type="even" r:id="rId11"/>
          <w:footerReference w:type="default" r:id="rId12"/>
          <w:pgSz w:w="16838" w:h="11906" w:orient="landscape"/>
          <w:pgMar w:top="993" w:right="1440" w:bottom="851" w:left="1440" w:header="708" w:footer="708" w:gutter="0"/>
          <w:cols w:space="708"/>
          <w:docGrid w:linePitch="360"/>
        </w:sectPr>
      </w:pPr>
    </w:p>
    <w:p w:rsidR="00E25185" w:rsidRDefault="00E25185" w:rsidP="009567B7">
      <w:pPr>
        <w:spacing w:line="240" w:lineRule="auto"/>
        <w:ind w:right="-1732"/>
        <w:rPr>
          <w:rFonts w:ascii="Arial" w:hAnsi="Arial" w:cs="Arial"/>
          <w:noProof/>
          <w:highlight w:val="yellow"/>
        </w:rPr>
      </w:pPr>
    </w:p>
    <w:p w:rsidR="009567B7" w:rsidRDefault="009567B7" w:rsidP="009567B7">
      <w:pPr>
        <w:numPr>
          <w:ilvl w:val="0"/>
          <w:numId w:val="1"/>
        </w:numPr>
        <w:suppressAutoHyphens/>
        <w:spacing w:after="0" w:line="240" w:lineRule="auto"/>
        <w:ind w:left="567" w:hanging="567"/>
        <w:jc w:val="both"/>
        <w:rPr>
          <w:rFonts w:ascii="Arial" w:hAnsi="Arial" w:cs="Arial"/>
          <w:b/>
          <w:color w:val="0070C0"/>
          <w:sz w:val="32"/>
          <w:szCs w:val="32"/>
        </w:rPr>
      </w:pPr>
      <w:r>
        <w:rPr>
          <w:rFonts w:ascii="Arial" w:hAnsi="Arial" w:cs="Arial"/>
          <w:b/>
          <w:color w:val="0070C0"/>
          <w:sz w:val="32"/>
          <w:szCs w:val="32"/>
        </w:rPr>
        <w:t>Learning from Healthcare Death reviews and investigations</w:t>
      </w:r>
    </w:p>
    <w:p w:rsidR="00D76D13" w:rsidRDefault="00D76D13" w:rsidP="00D76D13">
      <w:pPr>
        <w:spacing w:line="240" w:lineRule="auto"/>
        <w:rPr>
          <w:rFonts w:ascii="Arial" w:hAnsi="Arial" w:cs="Arial"/>
        </w:rPr>
      </w:pPr>
    </w:p>
    <w:p w:rsidR="00D76D13" w:rsidRDefault="00D76D13" w:rsidP="00D76D13">
      <w:pPr>
        <w:spacing w:line="240" w:lineRule="auto"/>
        <w:rPr>
          <w:rFonts w:ascii="Arial" w:hAnsi="Arial" w:cs="Arial"/>
        </w:rPr>
      </w:pPr>
      <w:r w:rsidRPr="008C5158">
        <w:rPr>
          <w:rFonts w:ascii="Arial" w:hAnsi="Arial" w:cs="Arial"/>
        </w:rPr>
        <w:t xml:space="preserve">This </w:t>
      </w:r>
      <w:r>
        <w:rPr>
          <w:rFonts w:ascii="Arial" w:hAnsi="Arial" w:cs="Arial"/>
        </w:rPr>
        <w:t xml:space="preserve">section of the report </w:t>
      </w:r>
      <w:r w:rsidRPr="008C5158">
        <w:rPr>
          <w:rFonts w:ascii="Arial" w:hAnsi="Arial" w:cs="Arial"/>
        </w:rPr>
        <w:t>contains a</w:t>
      </w:r>
      <w:r>
        <w:rPr>
          <w:rFonts w:ascii="Arial" w:hAnsi="Arial" w:cs="Arial"/>
        </w:rPr>
        <w:t>n overview</w:t>
      </w:r>
      <w:r w:rsidRPr="008C5158">
        <w:rPr>
          <w:rFonts w:ascii="Arial" w:hAnsi="Arial" w:cs="Arial"/>
        </w:rPr>
        <w:t xml:space="preserve"> of</w:t>
      </w:r>
      <w:r>
        <w:rPr>
          <w:rFonts w:ascii="Arial" w:hAnsi="Arial" w:cs="Arial"/>
        </w:rPr>
        <w:t xml:space="preserve"> themes </w:t>
      </w:r>
      <w:r w:rsidRPr="008C5158">
        <w:rPr>
          <w:rFonts w:ascii="Arial" w:hAnsi="Arial" w:cs="Arial"/>
        </w:rPr>
        <w:t>identified from reviews and investigations that have been completed so far</w:t>
      </w:r>
      <w:r>
        <w:rPr>
          <w:rFonts w:ascii="Arial" w:hAnsi="Arial" w:cs="Arial"/>
        </w:rPr>
        <w:t xml:space="preserve"> (by 13/11/19)</w:t>
      </w:r>
      <w:r w:rsidRPr="008C5158">
        <w:rPr>
          <w:rFonts w:ascii="Arial" w:hAnsi="Arial" w:cs="Arial"/>
        </w:rPr>
        <w:t xml:space="preserve"> for deaths reported between 1/4/17 – 30/9/19.  Further learning will be added as these are completed.  </w:t>
      </w:r>
    </w:p>
    <w:p w:rsidR="00D76D13" w:rsidRDefault="00D76D13" w:rsidP="00D76D13">
      <w:pPr>
        <w:spacing w:line="240" w:lineRule="auto"/>
        <w:rPr>
          <w:rFonts w:ascii="Arial" w:hAnsi="Arial" w:cs="Arial"/>
        </w:rPr>
      </w:pPr>
      <w:r w:rsidRPr="0041152E">
        <w:rPr>
          <w:rFonts w:ascii="Arial" w:hAnsi="Arial" w:cs="Arial"/>
        </w:rPr>
        <w:t xml:space="preserve">The narrative from investigations and reviews that have been completed by 13/11/2019 have been extracted from Datix and grouped by theme for further detailed analysis. Some of this data has been reviewed at the Clinical Mortality Review Group.  </w:t>
      </w:r>
      <w:r>
        <w:rPr>
          <w:rFonts w:ascii="Arial" w:hAnsi="Arial" w:cs="Arial"/>
        </w:rPr>
        <w:t>Learning library summaries are being prepared (as set out in Appendix A)</w:t>
      </w:r>
      <w:r w:rsidRPr="0041152E">
        <w:rPr>
          <w:rFonts w:ascii="Arial" w:hAnsi="Arial" w:cs="Arial"/>
        </w:rPr>
        <w:t xml:space="preserve"> to enable us to share thematic learning and key messages.</w:t>
      </w:r>
      <w:r w:rsidRPr="008C5158">
        <w:rPr>
          <w:rFonts w:ascii="Arial" w:hAnsi="Arial" w:cs="Arial"/>
        </w:rPr>
        <w:t xml:space="preserve"> </w:t>
      </w:r>
    </w:p>
    <w:p w:rsidR="00D76D13" w:rsidRPr="008C5158" w:rsidRDefault="00D76D13" w:rsidP="00D76D13">
      <w:pPr>
        <w:spacing w:line="240" w:lineRule="auto"/>
        <w:rPr>
          <w:rFonts w:ascii="Arial" w:hAnsi="Arial" w:cs="Arial"/>
          <w:b/>
        </w:rPr>
      </w:pPr>
      <w:r>
        <w:rPr>
          <w:rFonts w:ascii="Arial" w:hAnsi="Arial" w:cs="Arial"/>
          <w:b/>
        </w:rPr>
        <w:t>1</w:t>
      </w:r>
      <w:r w:rsidRPr="008C5158">
        <w:rPr>
          <w:rFonts w:ascii="Arial" w:hAnsi="Arial" w:cs="Arial"/>
          <w:b/>
        </w:rPr>
        <w:tab/>
        <w:t xml:space="preserve">Learning from Structured Judgement Reviews </w:t>
      </w:r>
    </w:p>
    <w:p w:rsidR="00D76D13" w:rsidRPr="008C5158" w:rsidRDefault="00D76D13" w:rsidP="00D76D13">
      <w:pPr>
        <w:spacing w:line="240" w:lineRule="auto"/>
        <w:rPr>
          <w:rFonts w:ascii="Arial" w:hAnsi="Arial" w:cs="Arial"/>
        </w:rPr>
      </w:pPr>
      <w:r w:rsidRPr="008C5158">
        <w:rPr>
          <w:rFonts w:ascii="Arial" w:hAnsi="Arial" w:cs="Arial"/>
        </w:rPr>
        <w:t xml:space="preserve">This section provides information on deaths reported on Datix between 1 April 2017 and 30 September 2019 which resulted in a Structured Judgement Review. </w:t>
      </w:r>
      <w:r>
        <w:rPr>
          <w:rFonts w:ascii="Arial" w:hAnsi="Arial" w:cs="Arial"/>
        </w:rPr>
        <w:t>The information in the charts is cumulative over time.</w:t>
      </w:r>
    </w:p>
    <w:p w:rsidR="00D76D13" w:rsidRDefault="00D76D13" w:rsidP="00D76D13">
      <w:pPr>
        <w:spacing w:line="240" w:lineRule="auto"/>
        <w:rPr>
          <w:rFonts w:ascii="Arial" w:hAnsi="Arial" w:cs="Arial"/>
        </w:rPr>
      </w:pPr>
      <w:r w:rsidRPr="008C5158">
        <w:rPr>
          <w:rFonts w:ascii="Arial" w:hAnsi="Arial" w:cs="Arial"/>
        </w:rPr>
        <w:t>During a Structure Judgement Review, the reviewer assesses each phase of care and records their findings on a template under those headings. The sections below</w:t>
      </w:r>
      <w:r>
        <w:rPr>
          <w:rFonts w:ascii="Arial" w:hAnsi="Arial" w:cs="Arial"/>
        </w:rPr>
        <w:t xml:space="preserve"> </w:t>
      </w:r>
      <w:r w:rsidRPr="008C5158">
        <w:rPr>
          <w:rFonts w:ascii="Arial" w:hAnsi="Arial" w:cs="Arial"/>
        </w:rPr>
        <w:t>show the ratings for each phase of care</w:t>
      </w:r>
      <w:r>
        <w:rPr>
          <w:rFonts w:ascii="Arial" w:hAnsi="Arial" w:cs="Arial"/>
        </w:rPr>
        <w:t xml:space="preserve">.  </w:t>
      </w:r>
    </w:p>
    <w:p w:rsidR="00D76D13" w:rsidRPr="00997086" w:rsidRDefault="00D76D13" w:rsidP="00D76D13">
      <w:pPr>
        <w:spacing w:after="0" w:line="240" w:lineRule="auto"/>
        <w:rPr>
          <w:rFonts w:ascii="Arial" w:hAnsi="Arial" w:cs="Arial"/>
          <w:b/>
          <w:color w:val="0070C0"/>
          <w:sz w:val="24"/>
          <w:szCs w:val="24"/>
        </w:rPr>
      </w:pPr>
      <w:r w:rsidRPr="00997086">
        <w:rPr>
          <w:rFonts w:ascii="Arial" w:hAnsi="Arial" w:cs="Arial"/>
          <w:b/>
          <w:color w:val="0070C0"/>
          <w:sz w:val="24"/>
          <w:szCs w:val="24"/>
        </w:rPr>
        <w:t>Assessment of Care Overall</w:t>
      </w:r>
    </w:p>
    <w:p w:rsidR="00D76D13" w:rsidRPr="008C5158" w:rsidRDefault="00D76D13" w:rsidP="00D76D13">
      <w:pPr>
        <w:spacing w:line="240" w:lineRule="auto"/>
        <w:rPr>
          <w:rFonts w:ascii="Arial" w:hAnsi="Arial" w:cs="Arial"/>
        </w:rPr>
      </w:pPr>
      <w:r w:rsidRPr="008C5158">
        <w:rPr>
          <w:rFonts w:ascii="Arial" w:hAnsi="Arial" w:cs="Arial"/>
          <w:b/>
        </w:rPr>
        <w:t>55%</w:t>
      </w:r>
      <w:r w:rsidRPr="008C5158">
        <w:rPr>
          <w:rFonts w:ascii="Arial" w:hAnsi="Arial" w:cs="Arial"/>
        </w:rPr>
        <w:t xml:space="preserve"> of </w:t>
      </w:r>
      <w:r>
        <w:rPr>
          <w:rFonts w:ascii="Arial" w:hAnsi="Arial" w:cs="Arial"/>
        </w:rPr>
        <w:t xml:space="preserve">the 77 </w:t>
      </w:r>
      <w:r w:rsidRPr="008C5158">
        <w:rPr>
          <w:rFonts w:ascii="Arial" w:hAnsi="Arial" w:cs="Arial"/>
        </w:rPr>
        <w:t xml:space="preserve">reviews completed to date rated overall care as good or excellent. This compares with the previous position </w:t>
      </w:r>
      <w:r>
        <w:rPr>
          <w:rFonts w:ascii="Arial" w:hAnsi="Arial" w:cs="Arial"/>
        </w:rPr>
        <w:t xml:space="preserve">of </w:t>
      </w:r>
      <w:r w:rsidRPr="0041152E">
        <w:rPr>
          <w:rFonts w:ascii="Arial" w:hAnsi="Arial" w:cs="Arial"/>
        </w:rPr>
        <w:t>56%</w:t>
      </w:r>
      <w:r>
        <w:rPr>
          <w:rFonts w:ascii="Arial" w:hAnsi="Arial" w:cs="Arial"/>
        </w:rPr>
        <w:t>.</w:t>
      </w:r>
      <w:r w:rsidRPr="008C5158">
        <w:rPr>
          <w:rFonts w:ascii="Arial" w:hAnsi="Arial" w:cs="Arial"/>
        </w:rPr>
        <w:t xml:space="preserve"> </w:t>
      </w:r>
    </w:p>
    <w:p w:rsidR="00D76D13" w:rsidRPr="008C5158" w:rsidRDefault="00D76D13" w:rsidP="00D76D13">
      <w:pPr>
        <w:spacing w:line="240" w:lineRule="auto"/>
        <w:jc w:val="center"/>
        <w:rPr>
          <w:rFonts w:ascii="Arial" w:hAnsi="Arial" w:cs="Arial"/>
          <w:b/>
          <w:noProof/>
          <w:highlight w:val="yellow"/>
        </w:rPr>
      </w:pPr>
      <w:r>
        <w:rPr>
          <w:noProof/>
        </w:rPr>
        <w:drawing>
          <wp:inline distT="0" distB="0" distL="0" distR="0" wp14:anchorId="223542C1" wp14:editId="704EA307">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6D13" w:rsidRDefault="00D76D13" w:rsidP="00D76D13">
      <w:pPr>
        <w:spacing w:line="240" w:lineRule="auto"/>
        <w:rPr>
          <w:rFonts w:ascii="Arial" w:hAnsi="Arial" w:cs="Arial"/>
          <w:b/>
          <w:noProof/>
          <w:highlight w:val="yellow"/>
        </w:rPr>
      </w:pPr>
      <w:r>
        <w:rPr>
          <w:rFonts w:ascii="Arial" w:hAnsi="Arial" w:cs="Arial"/>
          <w:b/>
          <w:noProof/>
          <w:highlight w:val="yellow"/>
        </w:rPr>
        <w:br w:type="page"/>
      </w:r>
    </w:p>
    <w:p w:rsidR="00D76D13" w:rsidRPr="008C5158" w:rsidRDefault="00D76D13" w:rsidP="00D76D13">
      <w:pPr>
        <w:spacing w:line="240" w:lineRule="auto"/>
        <w:jc w:val="center"/>
        <w:rPr>
          <w:rFonts w:ascii="Arial" w:hAnsi="Arial" w:cs="Arial"/>
          <w:b/>
          <w:noProof/>
          <w:highlight w:val="yellow"/>
        </w:rPr>
      </w:pPr>
    </w:p>
    <w:p w:rsidR="00D76D13" w:rsidRPr="008C5158" w:rsidRDefault="00D76D13" w:rsidP="00D76D13">
      <w:pPr>
        <w:spacing w:after="0" w:line="240" w:lineRule="auto"/>
        <w:rPr>
          <w:rFonts w:ascii="Arial" w:hAnsi="Arial" w:cs="Arial"/>
          <w:b/>
          <w:color w:val="0070C0"/>
          <w:sz w:val="24"/>
          <w:szCs w:val="24"/>
        </w:rPr>
      </w:pPr>
      <w:r w:rsidRPr="008C5158">
        <w:rPr>
          <w:rFonts w:ascii="Arial" w:hAnsi="Arial" w:cs="Arial"/>
          <w:b/>
          <w:color w:val="0070C0"/>
          <w:sz w:val="24"/>
          <w:szCs w:val="24"/>
        </w:rPr>
        <w:t>Quality of the patient record in enabling good quality of care to be provided:</w:t>
      </w:r>
    </w:p>
    <w:p w:rsidR="00D76D13" w:rsidRPr="008C5158" w:rsidRDefault="00D76D13" w:rsidP="00D76D13">
      <w:pPr>
        <w:spacing w:line="240" w:lineRule="auto"/>
        <w:rPr>
          <w:rFonts w:ascii="Arial" w:hAnsi="Arial" w:cs="Arial"/>
        </w:rPr>
      </w:pPr>
      <w:r w:rsidRPr="008C5158">
        <w:rPr>
          <w:rFonts w:ascii="Arial" w:hAnsi="Arial" w:cs="Arial"/>
          <w:b/>
        </w:rPr>
        <w:t>51%</w:t>
      </w:r>
      <w:r w:rsidRPr="008C5158">
        <w:rPr>
          <w:rFonts w:ascii="Arial" w:hAnsi="Arial" w:cs="Arial"/>
        </w:rPr>
        <w:t xml:space="preserve"> </w:t>
      </w:r>
      <w:r>
        <w:rPr>
          <w:rFonts w:ascii="Arial" w:hAnsi="Arial" w:cs="Arial"/>
        </w:rPr>
        <w:t xml:space="preserve">of the 77 reviews completed </w:t>
      </w:r>
      <w:r w:rsidRPr="008C5158">
        <w:rPr>
          <w:rFonts w:ascii="Arial" w:hAnsi="Arial" w:cs="Arial"/>
        </w:rPr>
        <w:t xml:space="preserve">were rated </w:t>
      </w:r>
      <w:r>
        <w:rPr>
          <w:rFonts w:ascii="Arial" w:hAnsi="Arial" w:cs="Arial"/>
        </w:rPr>
        <w:t xml:space="preserve">the patient record in enabling good quality care as </w:t>
      </w:r>
      <w:r w:rsidRPr="008C5158">
        <w:rPr>
          <w:rFonts w:ascii="Arial" w:hAnsi="Arial" w:cs="Arial"/>
        </w:rPr>
        <w:t xml:space="preserve">good or excellent. This </w:t>
      </w:r>
      <w:r>
        <w:rPr>
          <w:rFonts w:ascii="Arial" w:hAnsi="Arial" w:cs="Arial"/>
        </w:rPr>
        <w:t>is the same as reported last year</w:t>
      </w:r>
      <w:r w:rsidRPr="008C5158">
        <w:rPr>
          <w:rFonts w:ascii="Arial" w:hAnsi="Arial" w:cs="Arial"/>
        </w:rPr>
        <w:t xml:space="preserve"> </w:t>
      </w:r>
      <w:r w:rsidRPr="0041152E">
        <w:rPr>
          <w:rFonts w:ascii="Arial" w:hAnsi="Arial" w:cs="Arial"/>
        </w:rPr>
        <w:t>51%</w:t>
      </w:r>
      <w:r w:rsidRPr="008C5158">
        <w:rPr>
          <w:rFonts w:ascii="Arial" w:hAnsi="Arial" w:cs="Arial"/>
        </w:rPr>
        <w:t xml:space="preserve">  </w:t>
      </w:r>
    </w:p>
    <w:p w:rsidR="00D76D13" w:rsidRDefault="00D76D13" w:rsidP="00D76D13">
      <w:pPr>
        <w:spacing w:line="240" w:lineRule="auto"/>
        <w:jc w:val="center"/>
        <w:rPr>
          <w:rFonts w:ascii="Arial" w:hAnsi="Arial" w:cs="Arial"/>
          <w:b/>
        </w:rPr>
      </w:pPr>
      <w:r>
        <w:rPr>
          <w:noProof/>
        </w:rPr>
        <w:drawing>
          <wp:inline distT="0" distB="0" distL="0" distR="0" wp14:anchorId="13D1373C" wp14:editId="5C40BDA8">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6D13" w:rsidRPr="00997086" w:rsidRDefault="00D76D13" w:rsidP="00D76D13">
      <w:pPr>
        <w:spacing w:after="0" w:line="240" w:lineRule="auto"/>
        <w:rPr>
          <w:rFonts w:ascii="Arial" w:hAnsi="Arial" w:cs="Arial"/>
          <w:b/>
        </w:rPr>
      </w:pPr>
      <w:r w:rsidRPr="00997086">
        <w:rPr>
          <w:rFonts w:ascii="Arial" w:hAnsi="Arial" w:cs="Arial"/>
          <w:b/>
          <w:color w:val="0070C0"/>
          <w:sz w:val="24"/>
          <w:szCs w:val="24"/>
        </w:rPr>
        <w:t>Phases of care</w:t>
      </w:r>
    </w:p>
    <w:p w:rsidR="00D76D13" w:rsidRPr="008C5158" w:rsidRDefault="00D76D13" w:rsidP="00D76D13">
      <w:pPr>
        <w:spacing w:line="240" w:lineRule="auto"/>
        <w:rPr>
          <w:rFonts w:ascii="Arial" w:hAnsi="Arial" w:cs="Arial"/>
        </w:rPr>
      </w:pPr>
      <w:r w:rsidRPr="008C5158">
        <w:rPr>
          <w:rFonts w:ascii="Arial" w:hAnsi="Arial" w:cs="Arial"/>
        </w:rPr>
        <w:t xml:space="preserve">Below is a summary of the ratings given for each phase of care:- </w:t>
      </w:r>
    </w:p>
    <w:p w:rsidR="00D76D13" w:rsidRPr="00997086" w:rsidRDefault="00D76D13" w:rsidP="00D76D13">
      <w:pPr>
        <w:spacing w:after="0" w:line="240" w:lineRule="auto"/>
        <w:rPr>
          <w:rFonts w:ascii="Arial" w:hAnsi="Arial" w:cs="Arial"/>
          <w:b/>
          <w:color w:val="0070C0"/>
          <w:sz w:val="24"/>
          <w:szCs w:val="24"/>
        </w:rPr>
      </w:pPr>
      <w:r w:rsidRPr="00997086">
        <w:rPr>
          <w:rFonts w:ascii="Arial" w:hAnsi="Arial" w:cs="Arial"/>
          <w:b/>
          <w:color w:val="0070C0"/>
          <w:sz w:val="24"/>
          <w:szCs w:val="24"/>
        </w:rPr>
        <w:t>Risk assessment:</w:t>
      </w:r>
    </w:p>
    <w:p w:rsidR="00D76D13" w:rsidRPr="008C5158" w:rsidRDefault="00D76D13" w:rsidP="00D76D13">
      <w:pPr>
        <w:spacing w:line="240" w:lineRule="auto"/>
        <w:rPr>
          <w:rFonts w:ascii="Arial" w:hAnsi="Arial" w:cs="Arial"/>
          <w:b/>
        </w:rPr>
      </w:pPr>
      <w:r w:rsidRPr="008C5158">
        <w:rPr>
          <w:rFonts w:ascii="Arial" w:hAnsi="Arial" w:cs="Arial"/>
          <w:b/>
        </w:rPr>
        <w:t xml:space="preserve">40% </w:t>
      </w:r>
      <w:r w:rsidRPr="007F4398">
        <w:rPr>
          <w:rFonts w:ascii="Arial" w:hAnsi="Arial" w:cs="Arial"/>
        </w:rPr>
        <w:t>of the 73 reviews</w:t>
      </w:r>
      <w:r>
        <w:rPr>
          <w:rFonts w:ascii="Arial" w:hAnsi="Arial" w:cs="Arial"/>
        </w:rPr>
        <w:t xml:space="preserve"> completed rated r</w:t>
      </w:r>
      <w:r w:rsidRPr="007F4398">
        <w:rPr>
          <w:rFonts w:ascii="Arial" w:hAnsi="Arial" w:cs="Arial"/>
        </w:rPr>
        <w:t xml:space="preserve">isk assessment </w:t>
      </w:r>
      <w:r>
        <w:rPr>
          <w:rFonts w:ascii="Arial" w:hAnsi="Arial" w:cs="Arial"/>
        </w:rPr>
        <w:t>(where this was relevant)</w:t>
      </w:r>
      <w:r w:rsidRPr="007F4398">
        <w:rPr>
          <w:rFonts w:ascii="Arial" w:hAnsi="Arial" w:cs="Arial"/>
        </w:rPr>
        <w:t xml:space="preserve"> as</w:t>
      </w:r>
      <w:r w:rsidRPr="008C5158">
        <w:rPr>
          <w:rFonts w:ascii="Arial" w:hAnsi="Arial" w:cs="Arial"/>
        </w:rPr>
        <w:t xml:space="preserve"> good or excellent. This percentage has increased slightly </w:t>
      </w:r>
      <w:r>
        <w:rPr>
          <w:rFonts w:ascii="Arial" w:hAnsi="Arial" w:cs="Arial"/>
        </w:rPr>
        <w:t>from</w:t>
      </w:r>
      <w:r w:rsidRPr="008C5158">
        <w:rPr>
          <w:rFonts w:ascii="Arial" w:hAnsi="Arial" w:cs="Arial"/>
        </w:rPr>
        <w:t xml:space="preserve"> the last </w:t>
      </w:r>
      <w:r w:rsidRPr="0041152E">
        <w:rPr>
          <w:rFonts w:ascii="Arial" w:hAnsi="Arial" w:cs="Arial"/>
        </w:rPr>
        <w:t>year (35%)</w:t>
      </w:r>
    </w:p>
    <w:p w:rsidR="00D76D13" w:rsidRPr="008C5158" w:rsidRDefault="00D76D13" w:rsidP="00D76D13">
      <w:pPr>
        <w:spacing w:line="240" w:lineRule="auto"/>
        <w:jc w:val="center"/>
        <w:rPr>
          <w:rFonts w:ascii="Arial" w:hAnsi="Arial" w:cs="Arial"/>
          <w:b/>
          <w:highlight w:val="yellow"/>
        </w:rPr>
      </w:pPr>
      <w:r>
        <w:rPr>
          <w:noProof/>
        </w:rPr>
        <w:drawing>
          <wp:inline distT="0" distB="0" distL="0" distR="0" wp14:anchorId="3AB8AD19" wp14:editId="59D57478">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6D13" w:rsidRPr="008C5158" w:rsidRDefault="00D76D13" w:rsidP="00D76D13">
      <w:pPr>
        <w:spacing w:line="240" w:lineRule="auto"/>
        <w:rPr>
          <w:rFonts w:ascii="Arial" w:hAnsi="Arial" w:cs="Arial"/>
          <w:b/>
          <w:color w:val="4F81BD"/>
          <w:highlight w:val="yellow"/>
        </w:rPr>
      </w:pPr>
      <w:r w:rsidRPr="008C5158">
        <w:rPr>
          <w:rFonts w:ascii="Arial" w:hAnsi="Arial" w:cs="Arial"/>
          <w:b/>
          <w:color w:val="4F81BD"/>
          <w:highlight w:val="yellow"/>
        </w:rPr>
        <w:br w:type="page"/>
      </w:r>
    </w:p>
    <w:p w:rsidR="00D76D13" w:rsidRPr="00997086" w:rsidRDefault="00D76D13" w:rsidP="00D76D13">
      <w:pPr>
        <w:spacing w:after="0" w:line="240" w:lineRule="auto"/>
        <w:rPr>
          <w:rFonts w:ascii="Arial" w:hAnsi="Arial" w:cs="Arial"/>
          <w:b/>
          <w:color w:val="0070C0"/>
          <w:sz w:val="24"/>
          <w:szCs w:val="24"/>
        </w:rPr>
      </w:pPr>
      <w:r w:rsidRPr="00997086">
        <w:rPr>
          <w:rFonts w:ascii="Arial" w:hAnsi="Arial" w:cs="Arial"/>
          <w:b/>
          <w:color w:val="0070C0"/>
          <w:sz w:val="24"/>
          <w:szCs w:val="24"/>
        </w:rPr>
        <w:lastRenderedPageBreak/>
        <w:t>Allocation/Initial Review:</w:t>
      </w:r>
    </w:p>
    <w:p w:rsidR="00D76D13" w:rsidRPr="008C5158" w:rsidRDefault="00D76D13" w:rsidP="00D76D13">
      <w:pPr>
        <w:spacing w:after="0" w:line="240" w:lineRule="auto"/>
        <w:rPr>
          <w:rFonts w:ascii="Arial" w:hAnsi="Arial" w:cs="Arial"/>
        </w:rPr>
      </w:pPr>
      <w:r w:rsidRPr="008C5158">
        <w:rPr>
          <w:rFonts w:ascii="Arial" w:hAnsi="Arial" w:cs="Arial"/>
          <w:b/>
        </w:rPr>
        <w:t xml:space="preserve">60% </w:t>
      </w:r>
      <w:r w:rsidRPr="007F4398">
        <w:rPr>
          <w:rFonts w:ascii="Arial" w:hAnsi="Arial" w:cs="Arial"/>
        </w:rPr>
        <w:t>of the 68 reviews completed rated the initial review/allocation</w:t>
      </w:r>
      <w:r>
        <w:rPr>
          <w:rFonts w:ascii="Arial" w:hAnsi="Arial" w:cs="Arial"/>
        </w:rPr>
        <w:t xml:space="preserve"> (where this was relevant) </w:t>
      </w:r>
      <w:r w:rsidRPr="007F4398">
        <w:rPr>
          <w:rFonts w:ascii="Arial" w:hAnsi="Arial" w:cs="Arial"/>
        </w:rPr>
        <w:t>as</w:t>
      </w:r>
      <w:r>
        <w:rPr>
          <w:rFonts w:ascii="Arial" w:hAnsi="Arial" w:cs="Arial"/>
          <w:b/>
        </w:rPr>
        <w:t xml:space="preserve"> </w:t>
      </w:r>
      <w:r w:rsidRPr="008C5158">
        <w:rPr>
          <w:rFonts w:ascii="Arial" w:hAnsi="Arial" w:cs="Arial"/>
        </w:rPr>
        <w:t xml:space="preserve">good or excellent. Improved position on previous year (46%) </w:t>
      </w:r>
    </w:p>
    <w:p w:rsidR="00D76D13" w:rsidRPr="008C5158" w:rsidRDefault="00D76D13" w:rsidP="00D76D13">
      <w:pPr>
        <w:spacing w:after="0" w:line="240" w:lineRule="auto"/>
        <w:rPr>
          <w:rFonts w:ascii="Arial" w:hAnsi="Arial" w:cs="Arial"/>
          <w:b/>
          <w:highlight w:val="yellow"/>
        </w:rPr>
      </w:pPr>
    </w:p>
    <w:p w:rsidR="00D76D13" w:rsidRPr="008C5158" w:rsidRDefault="00D76D13" w:rsidP="00D76D13">
      <w:pPr>
        <w:spacing w:after="0" w:line="240" w:lineRule="auto"/>
        <w:jc w:val="center"/>
        <w:rPr>
          <w:rFonts w:ascii="Arial" w:hAnsi="Arial" w:cs="Arial"/>
          <w:b/>
          <w:highlight w:val="yellow"/>
        </w:rPr>
      </w:pPr>
      <w:r w:rsidRPr="008C5158">
        <w:rPr>
          <w:rFonts w:ascii="Arial" w:hAnsi="Arial" w:cs="Arial"/>
          <w:noProof/>
        </w:rPr>
        <w:drawing>
          <wp:inline distT="0" distB="0" distL="0" distR="0" wp14:anchorId="6CE1F802" wp14:editId="33F44B74">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6D13" w:rsidRPr="008C5158" w:rsidRDefault="00D76D13" w:rsidP="00D76D13">
      <w:pPr>
        <w:spacing w:after="0" w:line="240" w:lineRule="auto"/>
        <w:rPr>
          <w:rFonts w:ascii="Arial" w:hAnsi="Arial" w:cs="Arial"/>
          <w:b/>
          <w:color w:val="4F81BD"/>
          <w:highlight w:val="yellow"/>
        </w:rPr>
      </w:pPr>
    </w:p>
    <w:p w:rsidR="00D76D13" w:rsidRPr="00997086" w:rsidRDefault="00D76D13" w:rsidP="00D76D13">
      <w:pPr>
        <w:spacing w:after="0" w:line="240" w:lineRule="auto"/>
        <w:rPr>
          <w:rFonts w:ascii="Arial" w:hAnsi="Arial" w:cs="Arial"/>
          <w:b/>
          <w:color w:val="0070C0"/>
          <w:sz w:val="24"/>
          <w:szCs w:val="24"/>
        </w:rPr>
      </w:pPr>
      <w:r w:rsidRPr="00997086">
        <w:rPr>
          <w:rFonts w:ascii="Arial" w:hAnsi="Arial" w:cs="Arial"/>
          <w:b/>
          <w:color w:val="0070C0"/>
          <w:sz w:val="24"/>
          <w:szCs w:val="24"/>
        </w:rPr>
        <w:t>On-going Care:</w:t>
      </w:r>
    </w:p>
    <w:p w:rsidR="00D76D13" w:rsidRPr="008C5158" w:rsidRDefault="00D76D13" w:rsidP="00D76D13">
      <w:pPr>
        <w:spacing w:line="240" w:lineRule="auto"/>
        <w:rPr>
          <w:rFonts w:ascii="Arial" w:hAnsi="Arial" w:cs="Arial"/>
          <w:b/>
          <w:color w:val="FF0000"/>
        </w:rPr>
      </w:pPr>
      <w:r w:rsidRPr="008C5158">
        <w:rPr>
          <w:rFonts w:ascii="Arial" w:hAnsi="Arial" w:cs="Arial"/>
          <w:b/>
        </w:rPr>
        <w:t xml:space="preserve">59% </w:t>
      </w:r>
      <w:r w:rsidRPr="007F4398">
        <w:rPr>
          <w:rFonts w:ascii="Arial" w:hAnsi="Arial" w:cs="Arial"/>
        </w:rPr>
        <w:t xml:space="preserve">of the </w:t>
      </w:r>
      <w:r>
        <w:rPr>
          <w:rFonts w:ascii="Arial" w:hAnsi="Arial" w:cs="Arial"/>
        </w:rPr>
        <w:t>71</w:t>
      </w:r>
      <w:r w:rsidRPr="007F4398">
        <w:rPr>
          <w:rFonts w:ascii="Arial" w:hAnsi="Arial" w:cs="Arial"/>
        </w:rPr>
        <w:t xml:space="preserve"> reviews completed rated the initial review/allocation</w:t>
      </w:r>
      <w:r>
        <w:rPr>
          <w:rFonts w:ascii="Arial" w:hAnsi="Arial" w:cs="Arial"/>
        </w:rPr>
        <w:t xml:space="preserve"> (where this was relevant) </w:t>
      </w:r>
      <w:r w:rsidRPr="007F4398">
        <w:rPr>
          <w:rFonts w:ascii="Arial" w:hAnsi="Arial" w:cs="Arial"/>
        </w:rPr>
        <w:t>as</w:t>
      </w:r>
      <w:r>
        <w:rPr>
          <w:rFonts w:ascii="Arial" w:hAnsi="Arial" w:cs="Arial"/>
          <w:b/>
        </w:rPr>
        <w:t xml:space="preserve"> </w:t>
      </w:r>
      <w:r w:rsidRPr="008C5158">
        <w:rPr>
          <w:rFonts w:ascii="Arial" w:hAnsi="Arial" w:cs="Arial"/>
        </w:rPr>
        <w:t>good or excellent. Improved on previous year (56%)</w:t>
      </w:r>
      <w:r w:rsidRPr="008C5158">
        <w:rPr>
          <w:rFonts w:ascii="Arial" w:hAnsi="Arial" w:cs="Arial"/>
          <w:b/>
        </w:rPr>
        <w:t xml:space="preserve"> </w:t>
      </w:r>
    </w:p>
    <w:p w:rsidR="00D76D13" w:rsidRPr="008C5158" w:rsidRDefault="00D76D13" w:rsidP="00D76D13">
      <w:pPr>
        <w:spacing w:line="240" w:lineRule="auto"/>
        <w:jc w:val="center"/>
        <w:rPr>
          <w:rFonts w:ascii="Arial" w:hAnsi="Arial" w:cs="Arial"/>
          <w:highlight w:val="yellow"/>
        </w:rPr>
      </w:pPr>
      <w:r w:rsidRPr="008C5158">
        <w:rPr>
          <w:rFonts w:ascii="Arial" w:hAnsi="Arial" w:cs="Arial"/>
          <w:noProof/>
        </w:rPr>
        <w:drawing>
          <wp:inline distT="0" distB="0" distL="0" distR="0" wp14:anchorId="3DFF7C2E" wp14:editId="0D4BBECA">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6D13" w:rsidRPr="008C5158" w:rsidRDefault="00D76D13" w:rsidP="00D76D13">
      <w:pPr>
        <w:spacing w:line="240" w:lineRule="auto"/>
        <w:rPr>
          <w:rFonts w:ascii="Arial" w:hAnsi="Arial" w:cs="Arial"/>
          <w:b/>
          <w:color w:val="4F81BD"/>
          <w:highlight w:val="yellow"/>
        </w:rPr>
      </w:pPr>
    </w:p>
    <w:p w:rsidR="00D76D13" w:rsidRPr="008C5158" w:rsidRDefault="00D76D13" w:rsidP="00D76D13">
      <w:pPr>
        <w:spacing w:line="240" w:lineRule="auto"/>
        <w:rPr>
          <w:rFonts w:ascii="Arial" w:hAnsi="Arial" w:cs="Arial"/>
          <w:b/>
          <w:color w:val="4F81BD"/>
          <w:highlight w:val="yellow"/>
        </w:rPr>
      </w:pPr>
    </w:p>
    <w:p w:rsidR="00D76D13" w:rsidRDefault="00D76D13" w:rsidP="00D76D13">
      <w:pPr>
        <w:spacing w:line="240" w:lineRule="auto"/>
        <w:rPr>
          <w:rFonts w:ascii="Arial" w:hAnsi="Arial" w:cs="Arial"/>
          <w:b/>
          <w:color w:val="4F81BD"/>
          <w:highlight w:val="yellow"/>
        </w:rPr>
      </w:pPr>
    </w:p>
    <w:p w:rsidR="00D76D13" w:rsidRPr="008C5158" w:rsidRDefault="00D76D13" w:rsidP="00D76D13">
      <w:pPr>
        <w:spacing w:line="240" w:lineRule="auto"/>
        <w:rPr>
          <w:rFonts w:ascii="Arial" w:hAnsi="Arial" w:cs="Arial"/>
          <w:b/>
          <w:color w:val="4F81BD"/>
          <w:highlight w:val="yellow"/>
        </w:rPr>
      </w:pPr>
    </w:p>
    <w:p w:rsidR="00D76D13" w:rsidRPr="008C5158" w:rsidRDefault="00D76D13" w:rsidP="00D76D13">
      <w:pPr>
        <w:spacing w:line="240" w:lineRule="auto"/>
        <w:rPr>
          <w:rFonts w:ascii="Arial" w:hAnsi="Arial" w:cs="Arial"/>
          <w:b/>
          <w:color w:val="4F81BD"/>
          <w:highlight w:val="yellow"/>
        </w:rPr>
      </w:pPr>
    </w:p>
    <w:p w:rsidR="00D76D13" w:rsidRDefault="00D76D13" w:rsidP="00D76D13">
      <w:pPr>
        <w:spacing w:line="240" w:lineRule="auto"/>
        <w:rPr>
          <w:rFonts w:ascii="Arial" w:hAnsi="Arial" w:cs="Arial"/>
          <w:b/>
          <w:color w:val="4F81BD"/>
          <w:highlight w:val="yellow"/>
        </w:rPr>
      </w:pPr>
    </w:p>
    <w:p w:rsidR="00D76D13" w:rsidRPr="008C5158" w:rsidRDefault="00D76D13" w:rsidP="00D76D13">
      <w:pPr>
        <w:spacing w:line="240" w:lineRule="auto"/>
        <w:rPr>
          <w:rFonts w:ascii="Arial" w:hAnsi="Arial" w:cs="Arial"/>
          <w:b/>
          <w:color w:val="4F81BD"/>
          <w:highlight w:val="yellow"/>
        </w:rPr>
      </w:pPr>
    </w:p>
    <w:p w:rsidR="00D76D13" w:rsidRPr="00997086" w:rsidRDefault="00D76D13" w:rsidP="00D76D13">
      <w:pPr>
        <w:spacing w:after="0" w:line="240" w:lineRule="auto"/>
        <w:rPr>
          <w:rFonts w:ascii="Arial" w:hAnsi="Arial" w:cs="Arial"/>
          <w:b/>
          <w:color w:val="0070C0"/>
          <w:sz w:val="24"/>
          <w:szCs w:val="24"/>
        </w:rPr>
      </w:pPr>
      <w:r w:rsidRPr="00997086">
        <w:rPr>
          <w:rFonts w:ascii="Arial" w:hAnsi="Arial" w:cs="Arial"/>
          <w:b/>
          <w:color w:val="0070C0"/>
          <w:sz w:val="24"/>
          <w:szCs w:val="24"/>
        </w:rPr>
        <w:lastRenderedPageBreak/>
        <w:t xml:space="preserve">Care During Admissions (where applicable): </w:t>
      </w:r>
    </w:p>
    <w:p w:rsidR="00D76D13" w:rsidRDefault="00D76D13" w:rsidP="00D76D13">
      <w:pPr>
        <w:spacing w:after="0" w:line="240" w:lineRule="auto"/>
        <w:rPr>
          <w:rFonts w:ascii="Arial" w:hAnsi="Arial" w:cs="Arial"/>
        </w:rPr>
      </w:pPr>
      <w:r w:rsidRPr="008C5158">
        <w:rPr>
          <w:rFonts w:ascii="Arial" w:hAnsi="Arial" w:cs="Arial"/>
          <w:b/>
        </w:rPr>
        <w:t>63%</w:t>
      </w:r>
      <w:r w:rsidRPr="008C5158">
        <w:rPr>
          <w:rFonts w:ascii="Arial" w:hAnsi="Arial" w:cs="Arial"/>
        </w:rPr>
        <w:t xml:space="preserve"> </w:t>
      </w:r>
      <w:r w:rsidRPr="007F4398">
        <w:rPr>
          <w:rFonts w:ascii="Arial" w:hAnsi="Arial" w:cs="Arial"/>
        </w:rPr>
        <w:t xml:space="preserve">of the </w:t>
      </w:r>
      <w:r>
        <w:rPr>
          <w:rFonts w:ascii="Arial" w:hAnsi="Arial" w:cs="Arial"/>
        </w:rPr>
        <w:t>30</w:t>
      </w:r>
      <w:r w:rsidRPr="007F4398">
        <w:rPr>
          <w:rFonts w:ascii="Arial" w:hAnsi="Arial" w:cs="Arial"/>
        </w:rPr>
        <w:t xml:space="preserve"> reviews completed rated the </w:t>
      </w:r>
      <w:r>
        <w:rPr>
          <w:rFonts w:ascii="Arial" w:hAnsi="Arial" w:cs="Arial"/>
        </w:rPr>
        <w:t xml:space="preserve">Care during admissions (where this was relevant) </w:t>
      </w:r>
      <w:r w:rsidRPr="007F4398">
        <w:rPr>
          <w:rFonts w:ascii="Arial" w:hAnsi="Arial" w:cs="Arial"/>
        </w:rPr>
        <w:t>as</w:t>
      </w:r>
      <w:r>
        <w:rPr>
          <w:rFonts w:ascii="Arial" w:hAnsi="Arial" w:cs="Arial"/>
          <w:b/>
        </w:rPr>
        <w:t xml:space="preserve"> </w:t>
      </w:r>
      <w:r w:rsidRPr="008C5158">
        <w:rPr>
          <w:rFonts w:ascii="Arial" w:hAnsi="Arial" w:cs="Arial"/>
        </w:rPr>
        <w:t>good or excellent. Improved on previous year (57%)</w:t>
      </w:r>
    </w:p>
    <w:p w:rsidR="00D76D13" w:rsidRPr="008C5158" w:rsidRDefault="00D76D13" w:rsidP="00D76D13">
      <w:pPr>
        <w:spacing w:after="0" w:line="240" w:lineRule="auto"/>
        <w:rPr>
          <w:rFonts w:ascii="Arial" w:hAnsi="Arial" w:cs="Arial"/>
        </w:rPr>
      </w:pPr>
    </w:p>
    <w:p w:rsidR="00D76D13" w:rsidRPr="008C5158" w:rsidRDefault="00D76D13" w:rsidP="00D76D13">
      <w:pPr>
        <w:suppressAutoHyphens/>
        <w:spacing w:after="0" w:line="240" w:lineRule="auto"/>
        <w:jc w:val="center"/>
        <w:rPr>
          <w:rFonts w:ascii="Arial" w:hAnsi="Arial" w:cs="Arial"/>
          <w:color w:val="00B050"/>
          <w:highlight w:val="yellow"/>
        </w:rPr>
      </w:pPr>
      <w:r>
        <w:rPr>
          <w:noProof/>
        </w:rPr>
        <w:drawing>
          <wp:inline distT="0" distB="0" distL="0" distR="0" wp14:anchorId="2DE30933" wp14:editId="79E4BDBE">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6D13" w:rsidRPr="008C5158" w:rsidRDefault="00D76D13" w:rsidP="00D76D13">
      <w:pPr>
        <w:suppressAutoHyphens/>
        <w:spacing w:after="0" w:line="240" w:lineRule="auto"/>
        <w:ind w:left="720"/>
        <w:jc w:val="center"/>
        <w:rPr>
          <w:rFonts w:ascii="Arial" w:hAnsi="Arial" w:cs="Arial"/>
          <w:color w:val="00B050"/>
          <w:highlight w:val="yellow"/>
        </w:rPr>
      </w:pPr>
    </w:p>
    <w:p w:rsidR="00D76D13" w:rsidRPr="00997086" w:rsidRDefault="00D76D13" w:rsidP="00D76D13">
      <w:pPr>
        <w:spacing w:after="0" w:line="240" w:lineRule="auto"/>
        <w:rPr>
          <w:rFonts w:ascii="Arial" w:hAnsi="Arial" w:cs="Arial"/>
          <w:b/>
          <w:color w:val="0070C0"/>
          <w:sz w:val="24"/>
          <w:szCs w:val="24"/>
        </w:rPr>
      </w:pPr>
      <w:r w:rsidRPr="00997086">
        <w:rPr>
          <w:rFonts w:ascii="Arial" w:hAnsi="Arial" w:cs="Arial"/>
          <w:b/>
          <w:color w:val="0070C0"/>
          <w:sz w:val="24"/>
          <w:szCs w:val="24"/>
        </w:rPr>
        <w:t>Follow-up Management / Discharge:</w:t>
      </w:r>
    </w:p>
    <w:p w:rsidR="00D76D13" w:rsidRPr="008C5158" w:rsidRDefault="00D76D13" w:rsidP="00D76D13">
      <w:pPr>
        <w:spacing w:line="240" w:lineRule="auto"/>
        <w:rPr>
          <w:rFonts w:ascii="Arial" w:hAnsi="Arial" w:cs="Arial"/>
        </w:rPr>
      </w:pPr>
      <w:r w:rsidRPr="008C5158">
        <w:rPr>
          <w:rFonts w:ascii="Arial" w:hAnsi="Arial" w:cs="Arial"/>
          <w:b/>
        </w:rPr>
        <w:t>52%</w:t>
      </w:r>
      <w:r w:rsidRPr="008C5158">
        <w:rPr>
          <w:rFonts w:ascii="Arial" w:hAnsi="Arial" w:cs="Arial"/>
        </w:rPr>
        <w:t xml:space="preserve"> </w:t>
      </w:r>
      <w:r w:rsidRPr="007F4398">
        <w:rPr>
          <w:rFonts w:ascii="Arial" w:hAnsi="Arial" w:cs="Arial"/>
        </w:rPr>
        <w:t xml:space="preserve">of the </w:t>
      </w:r>
      <w:r>
        <w:rPr>
          <w:rFonts w:ascii="Arial" w:hAnsi="Arial" w:cs="Arial"/>
        </w:rPr>
        <w:t>50</w:t>
      </w:r>
      <w:r w:rsidRPr="007F4398">
        <w:rPr>
          <w:rFonts w:ascii="Arial" w:hAnsi="Arial" w:cs="Arial"/>
        </w:rPr>
        <w:t xml:space="preserve"> reviews completed rated the </w:t>
      </w:r>
      <w:r>
        <w:rPr>
          <w:rFonts w:ascii="Arial" w:hAnsi="Arial" w:cs="Arial"/>
        </w:rPr>
        <w:t xml:space="preserve">Follow up management/discharge (where this was relevant) </w:t>
      </w:r>
      <w:r w:rsidRPr="007F4398">
        <w:rPr>
          <w:rFonts w:ascii="Arial" w:hAnsi="Arial" w:cs="Arial"/>
        </w:rPr>
        <w:t>as</w:t>
      </w:r>
      <w:r>
        <w:rPr>
          <w:rFonts w:ascii="Arial" w:hAnsi="Arial" w:cs="Arial"/>
          <w:b/>
        </w:rPr>
        <w:t xml:space="preserve"> </w:t>
      </w:r>
      <w:r w:rsidRPr="008C5158">
        <w:rPr>
          <w:rFonts w:ascii="Arial" w:hAnsi="Arial" w:cs="Arial"/>
        </w:rPr>
        <w:t xml:space="preserve">good or excellent. This percentage has reduced slightly on the last </w:t>
      </w:r>
      <w:r w:rsidRPr="0041152E">
        <w:rPr>
          <w:rFonts w:ascii="Arial" w:hAnsi="Arial" w:cs="Arial"/>
        </w:rPr>
        <w:t>report (56%)</w:t>
      </w:r>
    </w:p>
    <w:p w:rsidR="00D76D13" w:rsidRPr="008C5158" w:rsidRDefault="00D76D13" w:rsidP="00D76D13">
      <w:pPr>
        <w:spacing w:after="0" w:line="240" w:lineRule="auto"/>
        <w:jc w:val="center"/>
        <w:rPr>
          <w:rFonts w:ascii="Arial" w:hAnsi="Arial" w:cs="Arial"/>
          <w:b/>
          <w:highlight w:val="yellow"/>
        </w:rPr>
      </w:pPr>
      <w:r w:rsidRPr="008C5158">
        <w:rPr>
          <w:rFonts w:ascii="Arial" w:hAnsi="Arial" w:cs="Arial"/>
          <w:noProof/>
        </w:rPr>
        <w:drawing>
          <wp:inline distT="0" distB="0" distL="0" distR="0" wp14:anchorId="57502885" wp14:editId="392F51F4">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6D13" w:rsidRPr="008C5158" w:rsidRDefault="00D76D13" w:rsidP="00D76D13">
      <w:pPr>
        <w:spacing w:after="0" w:line="240" w:lineRule="auto"/>
        <w:rPr>
          <w:rFonts w:ascii="Arial" w:hAnsi="Arial" w:cs="Arial"/>
          <w:b/>
          <w:highlight w:val="yellow"/>
        </w:rPr>
      </w:pPr>
    </w:p>
    <w:p w:rsidR="00D76D13" w:rsidRPr="008C5158" w:rsidRDefault="00D76D13" w:rsidP="00D76D13">
      <w:pPr>
        <w:spacing w:after="0" w:line="240" w:lineRule="auto"/>
        <w:rPr>
          <w:rFonts w:ascii="Arial" w:hAnsi="Arial" w:cs="Arial"/>
          <w:b/>
          <w:highlight w:val="yellow"/>
        </w:rPr>
      </w:pPr>
    </w:p>
    <w:p w:rsidR="00D76D13" w:rsidRPr="00997086" w:rsidRDefault="00D76D13" w:rsidP="00D76D13">
      <w:pPr>
        <w:spacing w:after="0" w:line="240" w:lineRule="auto"/>
        <w:rPr>
          <w:rFonts w:ascii="Arial" w:hAnsi="Arial" w:cs="Arial"/>
          <w:b/>
          <w:color w:val="0070C0"/>
          <w:sz w:val="24"/>
          <w:szCs w:val="24"/>
        </w:rPr>
      </w:pPr>
      <w:r w:rsidRPr="00997086">
        <w:rPr>
          <w:rFonts w:ascii="Arial" w:hAnsi="Arial" w:cs="Arial"/>
          <w:b/>
          <w:color w:val="0070C0"/>
          <w:sz w:val="24"/>
          <w:szCs w:val="24"/>
        </w:rPr>
        <w:t>End of Life care</w:t>
      </w:r>
    </w:p>
    <w:p w:rsidR="00D76D13" w:rsidRPr="008C5158" w:rsidRDefault="00D76D13" w:rsidP="00D76D13">
      <w:pPr>
        <w:spacing w:line="240" w:lineRule="auto"/>
        <w:rPr>
          <w:rFonts w:ascii="Arial" w:hAnsi="Arial" w:cs="Arial"/>
        </w:rPr>
      </w:pPr>
      <w:r w:rsidRPr="008C5158">
        <w:rPr>
          <w:rFonts w:ascii="Arial" w:hAnsi="Arial" w:cs="Arial"/>
          <w:b/>
        </w:rPr>
        <w:t>100%</w:t>
      </w:r>
      <w:r w:rsidRPr="008C5158">
        <w:rPr>
          <w:rFonts w:ascii="Arial" w:hAnsi="Arial" w:cs="Arial"/>
        </w:rPr>
        <w:t xml:space="preserve"> of </w:t>
      </w:r>
      <w:r w:rsidRPr="007F4398">
        <w:rPr>
          <w:rFonts w:ascii="Arial" w:hAnsi="Arial" w:cs="Arial"/>
        </w:rPr>
        <w:t xml:space="preserve">the </w:t>
      </w:r>
      <w:r>
        <w:rPr>
          <w:rFonts w:ascii="Arial" w:hAnsi="Arial" w:cs="Arial"/>
        </w:rPr>
        <w:t xml:space="preserve">4 reviews completed rated End of Life care (where this was relevant) </w:t>
      </w:r>
      <w:r w:rsidRPr="007F4398">
        <w:rPr>
          <w:rFonts w:ascii="Arial" w:hAnsi="Arial" w:cs="Arial"/>
        </w:rPr>
        <w:t>as</w:t>
      </w:r>
      <w:r>
        <w:rPr>
          <w:rFonts w:ascii="Arial" w:hAnsi="Arial" w:cs="Arial"/>
          <w:b/>
        </w:rPr>
        <w:t xml:space="preserve"> </w:t>
      </w:r>
      <w:r w:rsidRPr="008C5158">
        <w:rPr>
          <w:rFonts w:ascii="Arial" w:hAnsi="Arial" w:cs="Arial"/>
        </w:rPr>
        <w:t>good or excellent. This has remained consistent.</w:t>
      </w:r>
    </w:p>
    <w:p w:rsidR="00D76D13" w:rsidRDefault="00D76D13" w:rsidP="00D76D13">
      <w:pPr>
        <w:spacing w:line="240" w:lineRule="auto"/>
        <w:rPr>
          <w:rFonts w:ascii="Arial" w:hAnsi="Arial" w:cs="Arial"/>
          <w:b/>
          <w:color w:val="0070C0"/>
          <w:sz w:val="24"/>
          <w:szCs w:val="24"/>
        </w:rPr>
      </w:pPr>
    </w:p>
    <w:p w:rsidR="00D76D13" w:rsidRDefault="00D76D13" w:rsidP="00D76D13">
      <w:pPr>
        <w:rPr>
          <w:rFonts w:ascii="Arial" w:hAnsi="Arial" w:cs="Arial"/>
          <w:b/>
          <w:color w:val="0070C0"/>
          <w:sz w:val="24"/>
          <w:szCs w:val="24"/>
        </w:rPr>
      </w:pPr>
      <w:r>
        <w:rPr>
          <w:rFonts w:ascii="Arial" w:hAnsi="Arial" w:cs="Arial"/>
          <w:b/>
          <w:color w:val="0070C0"/>
          <w:sz w:val="24"/>
          <w:szCs w:val="24"/>
        </w:rPr>
        <w:br w:type="page"/>
      </w:r>
    </w:p>
    <w:p w:rsidR="00D76D13" w:rsidRPr="00997086" w:rsidRDefault="00D76D13" w:rsidP="00D76D13">
      <w:pPr>
        <w:spacing w:line="240" w:lineRule="auto"/>
        <w:rPr>
          <w:rFonts w:ascii="Arial" w:hAnsi="Arial" w:cs="Arial"/>
          <w:b/>
          <w:color w:val="0070C0"/>
          <w:sz w:val="24"/>
          <w:szCs w:val="24"/>
        </w:rPr>
      </w:pPr>
      <w:r>
        <w:rPr>
          <w:rFonts w:ascii="Arial" w:hAnsi="Arial" w:cs="Arial"/>
          <w:b/>
          <w:color w:val="0070C0"/>
          <w:sz w:val="24"/>
          <w:szCs w:val="24"/>
        </w:rPr>
        <w:lastRenderedPageBreak/>
        <w:t>2</w:t>
      </w:r>
      <w:r w:rsidRPr="00997086">
        <w:rPr>
          <w:rFonts w:ascii="Arial" w:hAnsi="Arial" w:cs="Arial"/>
          <w:b/>
          <w:color w:val="0070C0"/>
          <w:sz w:val="24"/>
          <w:szCs w:val="24"/>
        </w:rPr>
        <w:tab/>
        <w:t>Learning from Investigations</w:t>
      </w:r>
    </w:p>
    <w:p w:rsidR="00D76D13" w:rsidRPr="008C5158" w:rsidRDefault="00D76D13" w:rsidP="00D76D13">
      <w:pPr>
        <w:spacing w:line="240" w:lineRule="auto"/>
        <w:rPr>
          <w:rFonts w:ascii="Arial" w:hAnsi="Arial" w:cs="Arial"/>
          <w:b/>
        </w:rPr>
      </w:pPr>
      <w:r>
        <w:rPr>
          <w:rFonts w:ascii="Arial" w:hAnsi="Arial" w:cs="Arial"/>
          <w:b/>
        </w:rPr>
        <w:t>2</w:t>
      </w:r>
      <w:r w:rsidRPr="008C5158">
        <w:rPr>
          <w:rFonts w:ascii="Arial" w:hAnsi="Arial" w:cs="Arial"/>
          <w:b/>
        </w:rPr>
        <w:t>.1</w:t>
      </w:r>
      <w:r w:rsidRPr="008C5158">
        <w:rPr>
          <w:rFonts w:ascii="Arial" w:hAnsi="Arial" w:cs="Arial"/>
          <w:b/>
        </w:rPr>
        <w:tab/>
        <w:t>Themes from completed Serious Incident investigations</w:t>
      </w:r>
      <w:r>
        <w:rPr>
          <w:rFonts w:ascii="Arial" w:hAnsi="Arial" w:cs="Arial"/>
          <w:b/>
        </w:rPr>
        <w:t xml:space="preserve"> </w:t>
      </w:r>
    </w:p>
    <w:p w:rsidR="00D76D13" w:rsidRPr="008C5158" w:rsidRDefault="00D76D13" w:rsidP="00D76D13">
      <w:pPr>
        <w:spacing w:line="240" w:lineRule="auto"/>
        <w:rPr>
          <w:rFonts w:ascii="Arial" w:hAnsi="Arial" w:cs="Arial"/>
        </w:rPr>
      </w:pPr>
      <w:r w:rsidRPr="008C5158">
        <w:rPr>
          <w:rFonts w:ascii="Arial" w:hAnsi="Arial" w:cs="Arial"/>
        </w:rPr>
        <w:t xml:space="preserve">From the Serious Incidents </w:t>
      </w:r>
      <w:r>
        <w:rPr>
          <w:rFonts w:ascii="Arial" w:hAnsi="Arial" w:cs="Arial"/>
        </w:rPr>
        <w:t xml:space="preserve">for deaths </w:t>
      </w:r>
      <w:r w:rsidRPr="008C5158">
        <w:rPr>
          <w:rFonts w:ascii="Arial" w:hAnsi="Arial" w:cs="Arial"/>
        </w:rPr>
        <w:t xml:space="preserve">that were reported on Datix between 1 April 2017 and 30 September 2019 </w:t>
      </w:r>
      <w:r>
        <w:rPr>
          <w:rFonts w:ascii="Arial" w:hAnsi="Arial" w:cs="Arial"/>
        </w:rPr>
        <w:t>wh</w:t>
      </w:r>
      <w:r w:rsidRPr="008C5158">
        <w:rPr>
          <w:rFonts w:ascii="Arial" w:hAnsi="Arial" w:cs="Arial"/>
        </w:rPr>
        <w:t xml:space="preserve">ere the investigation has been completed, 56 </w:t>
      </w:r>
      <w:r>
        <w:rPr>
          <w:rFonts w:ascii="Arial" w:hAnsi="Arial" w:cs="Arial"/>
        </w:rPr>
        <w:t xml:space="preserve">investigations </w:t>
      </w:r>
      <w:r w:rsidRPr="008C5158">
        <w:rPr>
          <w:rFonts w:ascii="Arial" w:hAnsi="Arial" w:cs="Arial"/>
        </w:rPr>
        <w:t>resulted in recommendations</w:t>
      </w:r>
      <w:r>
        <w:rPr>
          <w:rFonts w:ascii="Arial" w:hAnsi="Arial" w:cs="Arial"/>
        </w:rPr>
        <w:t xml:space="preserve"> and actions</w:t>
      </w:r>
      <w:r w:rsidRPr="008C5158">
        <w:rPr>
          <w:rFonts w:ascii="Arial" w:hAnsi="Arial" w:cs="Arial"/>
        </w:rPr>
        <w:t xml:space="preserve"> for improvement. The table below sets out the main themes from the resulting actions</w:t>
      </w:r>
      <w:r>
        <w:rPr>
          <w:rFonts w:ascii="Arial" w:hAnsi="Arial" w:cs="Arial"/>
        </w:rPr>
        <w:t xml:space="preserve"> alongside how many serious incident investigations they related to</w:t>
      </w:r>
      <w:r w:rsidRPr="008C5158">
        <w:rPr>
          <w:rFonts w:ascii="Arial" w:hAnsi="Arial" w:cs="Arial"/>
        </w:rPr>
        <w:t>:</w:t>
      </w:r>
    </w:p>
    <w:tbl>
      <w:tblPr>
        <w:tblW w:w="9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0"/>
        <w:gridCol w:w="1820"/>
        <w:gridCol w:w="1840"/>
      </w:tblGrid>
      <w:tr w:rsidR="00D76D13" w:rsidRPr="008C5158" w:rsidTr="009A31D7">
        <w:trPr>
          <w:trHeight w:val="900"/>
        </w:trPr>
        <w:tc>
          <w:tcPr>
            <w:tcW w:w="6280" w:type="dxa"/>
            <w:shd w:val="clear" w:color="auto" w:fill="auto"/>
            <w:noWrap/>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Action theme and descriptor</w:t>
            </w:r>
          </w:p>
        </w:tc>
        <w:tc>
          <w:tcPr>
            <w:tcW w:w="1820" w:type="dxa"/>
            <w:shd w:val="clear" w:color="auto" w:fill="auto"/>
            <w:hideMark/>
          </w:tcPr>
          <w:p w:rsidR="00D76D13" w:rsidRPr="008C5158" w:rsidRDefault="00D76D13" w:rsidP="009A31D7">
            <w:pPr>
              <w:spacing w:after="0" w:line="240" w:lineRule="auto"/>
              <w:jc w:val="center"/>
              <w:rPr>
                <w:rFonts w:ascii="Arial" w:eastAsia="Times New Roman" w:hAnsi="Arial" w:cs="Arial"/>
                <w:b/>
                <w:bCs/>
                <w:color w:val="000000"/>
              </w:rPr>
            </w:pPr>
            <w:r w:rsidRPr="008C5158">
              <w:rPr>
                <w:rFonts w:ascii="Arial" w:eastAsia="Times New Roman" w:hAnsi="Arial" w:cs="Arial"/>
                <w:b/>
                <w:bCs/>
                <w:color w:val="000000"/>
              </w:rPr>
              <w:t>Number of times theme identified</w:t>
            </w:r>
          </w:p>
        </w:tc>
        <w:tc>
          <w:tcPr>
            <w:tcW w:w="1840" w:type="dxa"/>
            <w:shd w:val="clear" w:color="auto" w:fill="auto"/>
            <w:hideMark/>
          </w:tcPr>
          <w:p w:rsidR="00D76D13" w:rsidRPr="008C5158" w:rsidRDefault="00D76D13" w:rsidP="009A31D7">
            <w:pPr>
              <w:spacing w:after="0" w:line="240" w:lineRule="auto"/>
              <w:jc w:val="center"/>
              <w:rPr>
                <w:rFonts w:ascii="Arial" w:eastAsia="Times New Roman" w:hAnsi="Arial" w:cs="Arial"/>
                <w:b/>
                <w:bCs/>
                <w:color w:val="000000"/>
              </w:rPr>
            </w:pPr>
            <w:r w:rsidRPr="008C5158">
              <w:rPr>
                <w:rFonts w:ascii="Arial" w:eastAsia="Times New Roman" w:hAnsi="Arial" w:cs="Arial"/>
                <w:b/>
                <w:bCs/>
                <w:color w:val="000000"/>
              </w:rPr>
              <w:t>Number of SI reports where theme appears</w:t>
            </w:r>
          </w:p>
        </w:tc>
      </w:tr>
      <w:tr w:rsidR="00D76D13" w:rsidRPr="008C5158" w:rsidTr="009A31D7">
        <w:trPr>
          <w:trHeight w:val="315"/>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Record keeping</w:t>
            </w:r>
            <w:r w:rsidRPr="008C5158">
              <w:rPr>
                <w:rFonts w:ascii="Arial" w:eastAsia="Times New Roman" w:hAnsi="Arial" w:cs="Arial"/>
                <w:color w:val="000000"/>
              </w:rPr>
              <w:t xml:space="preserve"> &amp; documentation </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36</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23</w:t>
            </w:r>
          </w:p>
        </w:tc>
      </w:tr>
      <w:tr w:rsidR="00D76D13" w:rsidRPr="008C5158" w:rsidTr="009A31D7">
        <w:trPr>
          <w:trHeight w:val="300"/>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Communication</w:t>
            </w:r>
            <w:r w:rsidRPr="008C5158">
              <w:rPr>
                <w:rFonts w:ascii="Arial" w:eastAsia="Times New Roman" w:hAnsi="Arial" w:cs="Arial"/>
                <w:color w:val="000000"/>
              </w:rPr>
              <w:t xml:space="preserve"> between staff (same service)</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22</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20</w:t>
            </w:r>
          </w:p>
        </w:tc>
      </w:tr>
      <w:tr w:rsidR="00D76D13" w:rsidRPr="008C5158" w:rsidTr="009A31D7">
        <w:trPr>
          <w:trHeight w:val="315"/>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Risk assessment</w:t>
            </w:r>
            <w:r w:rsidRPr="008C5158">
              <w:rPr>
                <w:rFonts w:ascii="Arial" w:eastAsia="Times New Roman" w:hAnsi="Arial" w:cs="Arial"/>
                <w:color w:val="000000"/>
              </w:rPr>
              <w:t xml:space="preserve">, management &amp; contingency </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21</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16</w:t>
            </w:r>
          </w:p>
        </w:tc>
      </w:tr>
      <w:tr w:rsidR="00D76D13" w:rsidRPr="008C5158" w:rsidTr="009A31D7">
        <w:trPr>
          <w:trHeight w:val="315"/>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Staff education, training &amp; supervision</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17</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12</w:t>
            </w:r>
          </w:p>
        </w:tc>
      </w:tr>
      <w:tr w:rsidR="00D76D13" w:rsidRPr="008C5158" w:rsidTr="009A31D7">
        <w:trPr>
          <w:trHeight w:val="315"/>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Policy &amp; procedures</w:t>
            </w:r>
            <w:r w:rsidRPr="008C5158">
              <w:rPr>
                <w:rFonts w:ascii="Arial" w:eastAsia="Times New Roman" w:hAnsi="Arial" w:cs="Arial"/>
                <w:color w:val="000000"/>
              </w:rPr>
              <w:t xml:space="preserve"> – in place but not adhered to</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16</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14</w:t>
            </w:r>
          </w:p>
        </w:tc>
      </w:tr>
      <w:tr w:rsidR="00D76D13" w:rsidRPr="008C5158" w:rsidTr="009A31D7">
        <w:trPr>
          <w:trHeight w:val="315"/>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Carers/family</w:t>
            </w:r>
            <w:r w:rsidRPr="008C5158">
              <w:rPr>
                <w:rFonts w:ascii="Arial" w:eastAsia="Times New Roman" w:hAnsi="Arial" w:cs="Arial"/>
                <w:color w:val="000000"/>
              </w:rPr>
              <w:t xml:space="preserve"> – communication, liaison, assessment  </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15</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13</w:t>
            </w:r>
          </w:p>
        </w:tc>
      </w:tr>
      <w:tr w:rsidR="00D76D13" w:rsidRPr="008C5158" w:rsidTr="009A31D7">
        <w:trPr>
          <w:trHeight w:val="600"/>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Care pathway</w:t>
            </w:r>
            <w:r w:rsidRPr="008C5158">
              <w:rPr>
                <w:rFonts w:ascii="Arial" w:eastAsia="Times New Roman" w:hAnsi="Arial" w:cs="Arial"/>
                <w:color w:val="000000"/>
              </w:rPr>
              <w:t xml:space="preserve"> – referral, access, discharge, transition between agencies, services &amp; related communications  </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13</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10</w:t>
            </w:r>
          </w:p>
        </w:tc>
      </w:tr>
      <w:tr w:rsidR="00D76D13" w:rsidRPr="008C5158" w:rsidTr="009A31D7">
        <w:trPr>
          <w:trHeight w:val="315"/>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Team/service systems</w:t>
            </w:r>
            <w:r w:rsidRPr="008C5158">
              <w:rPr>
                <w:rFonts w:ascii="Arial" w:eastAsia="Times New Roman" w:hAnsi="Arial" w:cs="Arial"/>
                <w:color w:val="000000"/>
              </w:rPr>
              <w:t xml:space="preserve">, roles &amp; management </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11</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10</w:t>
            </w:r>
          </w:p>
        </w:tc>
      </w:tr>
      <w:tr w:rsidR="00D76D13" w:rsidRPr="008C5158" w:rsidTr="009A31D7">
        <w:trPr>
          <w:trHeight w:val="600"/>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Care delivery</w:t>
            </w:r>
            <w:r w:rsidRPr="008C5158">
              <w:rPr>
                <w:rFonts w:ascii="Arial" w:eastAsia="Times New Roman" w:hAnsi="Arial" w:cs="Arial"/>
                <w:color w:val="000000"/>
              </w:rPr>
              <w:t xml:space="preserve"> - needs assessment, diagnosis, care planning, CPA, care delivery</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9</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7</w:t>
            </w:r>
          </w:p>
        </w:tc>
      </w:tr>
      <w:tr w:rsidR="00D76D13" w:rsidRPr="008C5158" w:rsidTr="009A31D7">
        <w:trPr>
          <w:trHeight w:val="315"/>
        </w:trPr>
        <w:tc>
          <w:tcPr>
            <w:tcW w:w="6280"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P</w:t>
            </w:r>
            <w:r w:rsidRPr="00BA4FE2">
              <w:rPr>
                <w:rFonts w:ascii="Arial" w:eastAsia="Times New Roman" w:hAnsi="Arial" w:cs="Arial"/>
                <w:b/>
                <w:color w:val="000000"/>
              </w:rPr>
              <w:t>olicy and procedures,</w:t>
            </w:r>
            <w:r w:rsidRPr="008C5158">
              <w:rPr>
                <w:rFonts w:ascii="Arial" w:eastAsia="Times New Roman" w:hAnsi="Arial" w:cs="Arial"/>
                <w:color w:val="000000"/>
              </w:rPr>
              <w:t xml:space="preserve"> not in place</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8</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Pr>
                <w:rFonts w:ascii="Arial" w:eastAsia="Times New Roman" w:hAnsi="Arial" w:cs="Arial"/>
                <w:color w:val="000000"/>
              </w:rPr>
              <w:t>7</w:t>
            </w:r>
            <w:r w:rsidRPr="008C5158">
              <w:rPr>
                <w:rFonts w:ascii="Arial" w:eastAsia="Times New Roman" w:hAnsi="Arial" w:cs="Arial"/>
                <w:color w:val="000000"/>
              </w:rPr>
              <w:t> </w:t>
            </w:r>
          </w:p>
        </w:tc>
      </w:tr>
      <w:tr w:rsidR="00D76D13" w:rsidRPr="008C5158" w:rsidTr="009A31D7">
        <w:trPr>
          <w:trHeight w:val="300"/>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 xml:space="preserve">Organisational systems, </w:t>
            </w:r>
            <w:r w:rsidRPr="008C5158">
              <w:rPr>
                <w:rFonts w:ascii="Arial" w:eastAsia="Times New Roman" w:hAnsi="Arial" w:cs="Arial"/>
                <w:color w:val="000000"/>
              </w:rPr>
              <w:t>management issues</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8</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7</w:t>
            </w:r>
          </w:p>
        </w:tc>
      </w:tr>
      <w:tr w:rsidR="00D76D13" w:rsidRPr="008C5158" w:rsidTr="009A31D7">
        <w:trPr>
          <w:trHeight w:val="315"/>
        </w:trPr>
        <w:tc>
          <w:tcPr>
            <w:tcW w:w="6280" w:type="dxa"/>
            <w:shd w:val="clear" w:color="auto" w:fill="auto"/>
            <w:noWrap/>
            <w:vAlign w:val="bottom"/>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Care coordination</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5</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4</w:t>
            </w:r>
          </w:p>
        </w:tc>
      </w:tr>
      <w:tr w:rsidR="00D76D13" w:rsidRPr="008C5158" w:rsidTr="009A31D7">
        <w:trPr>
          <w:trHeight w:val="315"/>
        </w:trPr>
        <w:tc>
          <w:tcPr>
            <w:tcW w:w="6280" w:type="dxa"/>
            <w:shd w:val="clear" w:color="auto" w:fill="auto"/>
            <w:noWrap/>
            <w:vAlign w:val="bottom"/>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Other</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4</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4</w:t>
            </w:r>
          </w:p>
        </w:tc>
      </w:tr>
      <w:tr w:rsidR="00D76D13" w:rsidRPr="008C5158" w:rsidTr="009A31D7">
        <w:trPr>
          <w:trHeight w:val="315"/>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Medicine management</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3</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3</w:t>
            </w:r>
          </w:p>
        </w:tc>
      </w:tr>
      <w:tr w:rsidR="00D76D13" w:rsidRPr="008C5158" w:rsidTr="009A31D7">
        <w:trPr>
          <w:trHeight w:val="600"/>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 xml:space="preserve">Environment/equipment </w:t>
            </w:r>
            <w:r w:rsidRPr="008C5158">
              <w:rPr>
                <w:rFonts w:ascii="Arial" w:eastAsia="Times New Roman" w:hAnsi="Arial" w:cs="Arial"/>
                <w:color w:val="000000"/>
              </w:rPr>
              <w:t xml:space="preserve">– security and safety, furniture, medical devices, hardware, ligatures, storage, etc </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3</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w:t>
            </w:r>
          </w:p>
        </w:tc>
      </w:tr>
      <w:tr w:rsidR="00D76D13" w:rsidRPr="008C5158" w:rsidTr="009A31D7">
        <w:trPr>
          <w:trHeight w:val="300"/>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Staff attitude</w:t>
            </w:r>
            <w:r w:rsidRPr="008C5158">
              <w:rPr>
                <w:rFonts w:ascii="Arial" w:eastAsia="Times New Roman" w:hAnsi="Arial" w:cs="Arial"/>
                <w:color w:val="000000"/>
              </w:rPr>
              <w:t>, conduct, professional practice</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w:t>
            </w:r>
          </w:p>
        </w:tc>
      </w:tr>
      <w:tr w:rsidR="00D76D13" w:rsidRPr="008C5158" w:rsidTr="009A31D7">
        <w:trPr>
          <w:trHeight w:val="585"/>
        </w:trPr>
        <w:tc>
          <w:tcPr>
            <w:tcW w:w="6280" w:type="dxa"/>
            <w:shd w:val="clear" w:color="auto" w:fill="auto"/>
            <w:vAlign w:val="center"/>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Information governance</w:t>
            </w:r>
            <w:r w:rsidRPr="008C5158">
              <w:rPr>
                <w:rFonts w:ascii="Arial" w:eastAsia="Times New Roman" w:hAnsi="Arial" w:cs="Arial"/>
                <w:color w:val="000000"/>
              </w:rPr>
              <w:t xml:space="preserve"> - confidentiality breach, information management </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color w:val="000000"/>
              </w:rPr>
            </w:pPr>
            <w:r w:rsidRPr="008C5158">
              <w:rPr>
                <w:rFonts w:ascii="Arial" w:eastAsia="Times New Roman" w:hAnsi="Arial" w:cs="Arial"/>
                <w:color w:val="000000"/>
              </w:rPr>
              <w:t>1</w:t>
            </w:r>
          </w:p>
        </w:tc>
      </w:tr>
      <w:tr w:rsidR="00D76D13" w:rsidRPr="008C5158" w:rsidTr="009A31D7">
        <w:trPr>
          <w:trHeight w:val="315"/>
        </w:trPr>
        <w:tc>
          <w:tcPr>
            <w:tcW w:w="6280" w:type="dxa"/>
            <w:shd w:val="clear" w:color="auto" w:fill="auto"/>
            <w:noWrap/>
            <w:vAlign w:val="bottom"/>
            <w:hideMark/>
          </w:tcPr>
          <w:p w:rsidR="00D76D13" w:rsidRPr="008C5158" w:rsidRDefault="00D76D13" w:rsidP="009A31D7">
            <w:pPr>
              <w:spacing w:after="0" w:line="240" w:lineRule="auto"/>
              <w:rPr>
                <w:rFonts w:ascii="Arial" w:eastAsia="Times New Roman" w:hAnsi="Arial" w:cs="Arial"/>
                <w:b/>
                <w:bCs/>
                <w:color w:val="000000"/>
              </w:rPr>
            </w:pPr>
            <w:r w:rsidRPr="008C5158">
              <w:rPr>
                <w:rFonts w:ascii="Arial" w:eastAsia="Times New Roman" w:hAnsi="Arial" w:cs="Arial"/>
                <w:b/>
                <w:bCs/>
                <w:color w:val="000000"/>
              </w:rPr>
              <w:t>Total themes</w:t>
            </w:r>
          </w:p>
        </w:tc>
        <w:tc>
          <w:tcPr>
            <w:tcW w:w="1820" w:type="dxa"/>
            <w:shd w:val="clear" w:color="auto" w:fill="auto"/>
            <w:noWrap/>
            <w:hideMark/>
          </w:tcPr>
          <w:p w:rsidR="00D76D13" w:rsidRPr="008C5158" w:rsidRDefault="00D76D13" w:rsidP="009A31D7">
            <w:pPr>
              <w:spacing w:after="0" w:line="240" w:lineRule="auto"/>
              <w:jc w:val="center"/>
              <w:rPr>
                <w:rFonts w:ascii="Arial" w:eastAsia="Times New Roman" w:hAnsi="Arial" w:cs="Arial"/>
                <w:b/>
                <w:bCs/>
                <w:color w:val="000000"/>
              </w:rPr>
            </w:pPr>
            <w:r w:rsidRPr="008C5158">
              <w:rPr>
                <w:rFonts w:ascii="Arial" w:eastAsia="Times New Roman" w:hAnsi="Arial" w:cs="Arial"/>
                <w:b/>
                <w:bCs/>
                <w:color w:val="000000"/>
              </w:rPr>
              <w:t>193</w:t>
            </w:r>
          </w:p>
        </w:tc>
        <w:tc>
          <w:tcPr>
            <w:tcW w:w="1840" w:type="dxa"/>
            <w:shd w:val="clear" w:color="auto" w:fill="auto"/>
            <w:noWrap/>
            <w:hideMark/>
          </w:tcPr>
          <w:p w:rsidR="00D76D13" w:rsidRPr="008C5158" w:rsidRDefault="00D76D13" w:rsidP="009A31D7">
            <w:pPr>
              <w:spacing w:after="0" w:line="240" w:lineRule="auto"/>
              <w:jc w:val="center"/>
              <w:rPr>
                <w:rFonts w:ascii="Arial" w:eastAsia="Times New Roman" w:hAnsi="Arial" w:cs="Arial"/>
                <w:b/>
                <w:bCs/>
                <w:color w:val="000000"/>
              </w:rPr>
            </w:pPr>
            <w:r w:rsidRPr="008C5158">
              <w:rPr>
                <w:rFonts w:ascii="Arial" w:eastAsia="Times New Roman" w:hAnsi="Arial" w:cs="Arial"/>
                <w:b/>
                <w:bCs/>
                <w:color w:val="000000"/>
              </w:rPr>
              <w:t>56</w:t>
            </w:r>
          </w:p>
        </w:tc>
      </w:tr>
    </w:tbl>
    <w:p w:rsidR="00D76D13" w:rsidRPr="00BA4FE2" w:rsidRDefault="00D76D13" w:rsidP="00777BD8">
      <w:pPr>
        <w:pStyle w:val="ListParagraph"/>
        <w:numPr>
          <w:ilvl w:val="1"/>
          <w:numId w:val="29"/>
        </w:numPr>
        <w:spacing w:before="240" w:after="60" w:line="240" w:lineRule="auto"/>
        <w:rPr>
          <w:rFonts w:ascii="Arial" w:eastAsia="MS Mincho" w:hAnsi="Arial" w:cs="Arial"/>
          <w:b/>
          <w:lang w:eastAsia="ar-SA"/>
        </w:rPr>
      </w:pPr>
      <w:r>
        <w:rPr>
          <w:rFonts w:ascii="Arial" w:eastAsia="MS Mincho" w:hAnsi="Arial" w:cs="Arial"/>
          <w:b/>
          <w:lang w:eastAsia="ar-SA"/>
        </w:rPr>
        <w:tab/>
      </w:r>
      <w:r w:rsidRPr="00BA4FE2">
        <w:rPr>
          <w:rFonts w:ascii="Arial" w:eastAsia="MS Mincho" w:hAnsi="Arial" w:cs="Arial"/>
          <w:b/>
          <w:lang w:eastAsia="ar-SA"/>
        </w:rPr>
        <w:t xml:space="preserve">Service level investigations </w:t>
      </w:r>
    </w:p>
    <w:p w:rsidR="00D76D13" w:rsidRPr="008C5158" w:rsidRDefault="00D76D13" w:rsidP="00D76D13">
      <w:pPr>
        <w:spacing w:line="240" w:lineRule="auto"/>
        <w:rPr>
          <w:rFonts w:ascii="Arial" w:eastAsia="Times New Roman" w:hAnsi="Arial" w:cs="Arial"/>
          <w:lang w:val="en-US"/>
        </w:rPr>
      </w:pPr>
      <w:r w:rsidRPr="008C5158">
        <w:rPr>
          <w:rFonts w:ascii="Arial" w:eastAsia="Times New Roman" w:hAnsi="Arial" w:cs="Arial"/>
          <w:lang w:val="en-US"/>
        </w:rPr>
        <w:t>Of the 32 service level investigations for deaths reported between 1 April 2017 and 30 September 2019, 25 investigations have been completed (at 13/11/19).</w:t>
      </w:r>
    </w:p>
    <w:p w:rsidR="00D76D13" w:rsidRPr="008C5158" w:rsidRDefault="00D76D13" w:rsidP="00D76D13">
      <w:pPr>
        <w:spacing w:line="240" w:lineRule="auto"/>
        <w:rPr>
          <w:rFonts w:ascii="Arial" w:eastAsia="Times New Roman" w:hAnsi="Arial" w:cs="Arial"/>
          <w:lang w:val="en-US"/>
        </w:rPr>
      </w:pPr>
      <w:r w:rsidRPr="008C5158">
        <w:rPr>
          <w:rFonts w:ascii="Arial" w:eastAsia="Times New Roman" w:hAnsi="Arial" w:cs="Arial"/>
          <w:lang w:val="en-US"/>
        </w:rPr>
        <w:t>Of the 25 completed investigations, 2 have not yet been updated on Datix.  17 cases had identified care or service delivery issues; some had more than one issue identified. These are themed below:</w:t>
      </w:r>
    </w:p>
    <w:tbl>
      <w:tblPr>
        <w:tblW w:w="5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276"/>
      </w:tblGrid>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 xml:space="preserve">Record keeping </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7</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 xml:space="preserve">Risk assessment/management </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6</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Carers/ family</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4</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Policy and procedure issues</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4</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 xml:space="preserve">Care delivery </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3</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Care pathway</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3</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 xml:space="preserve">Physical healthcare </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3</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Staff education, training and supervision</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3</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lastRenderedPageBreak/>
              <w:t xml:space="preserve">Communication </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2</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 xml:space="preserve">Discharge </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2</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Team/service issues</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2</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Environment</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Equipment</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 xml:space="preserve">Safeguarding </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r w:rsidR="00D76D13" w:rsidRPr="008C5158" w:rsidTr="00777BD8">
        <w:trPr>
          <w:trHeight w:val="300"/>
        </w:trPr>
        <w:tc>
          <w:tcPr>
            <w:tcW w:w="4551" w:type="dxa"/>
            <w:shd w:val="clear" w:color="auto" w:fill="auto"/>
            <w:noWrap/>
            <w:vAlign w:val="bottom"/>
            <w:hideMark/>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Medicine management</w:t>
            </w:r>
          </w:p>
        </w:tc>
        <w:tc>
          <w:tcPr>
            <w:tcW w:w="1276" w:type="dxa"/>
            <w:shd w:val="clear" w:color="auto" w:fill="auto"/>
            <w:noWrap/>
            <w:vAlign w:val="bottom"/>
            <w:hideMark/>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bl>
    <w:p w:rsidR="00D76D13" w:rsidRPr="008C5158" w:rsidRDefault="00D76D13" w:rsidP="00D76D13">
      <w:pPr>
        <w:spacing w:after="0" w:line="240" w:lineRule="auto"/>
        <w:rPr>
          <w:rFonts w:ascii="Arial" w:hAnsi="Arial" w:cs="Arial"/>
          <w:color w:val="FF0000"/>
          <w:highlight w:val="yellow"/>
        </w:rPr>
      </w:pPr>
    </w:p>
    <w:p w:rsidR="00D76D13" w:rsidRPr="00BA4FE2" w:rsidRDefault="00D76D13" w:rsidP="00D76D13">
      <w:pPr>
        <w:pStyle w:val="ListParagraph"/>
        <w:numPr>
          <w:ilvl w:val="1"/>
          <w:numId w:val="29"/>
        </w:numPr>
        <w:spacing w:before="60" w:after="60" w:line="240" w:lineRule="auto"/>
        <w:rPr>
          <w:rFonts w:ascii="Arial" w:eastAsia="MS Mincho" w:hAnsi="Arial" w:cs="Arial"/>
          <w:b/>
          <w:lang w:eastAsia="ar-SA"/>
        </w:rPr>
      </w:pPr>
      <w:r>
        <w:rPr>
          <w:rFonts w:ascii="Arial" w:eastAsia="MS Mincho" w:hAnsi="Arial" w:cs="Arial"/>
          <w:b/>
          <w:lang w:eastAsia="ar-SA"/>
        </w:rPr>
        <w:tab/>
      </w:r>
      <w:r w:rsidRPr="00BA4FE2">
        <w:rPr>
          <w:rFonts w:ascii="Arial" w:eastAsia="MS Mincho" w:hAnsi="Arial" w:cs="Arial"/>
          <w:b/>
          <w:lang w:eastAsia="ar-SA"/>
        </w:rPr>
        <w:t>Safeguarding reviews</w:t>
      </w:r>
    </w:p>
    <w:p w:rsidR="00D76D13" w:rsidRPr="008C5158" w:rsidRDefault="00D76D13" w:rsidP="00D76D13">
      <w:pPr>
        <w:spacing w:line="240" w:lineRule="auto"/>
        <w:rPr>
          <w:rFonts w:ascii="Arial" w:eastAsia="Times New Roman" w:hAnsi="Arial" w:cs="Arial"/>
          <w:lang w:val="en-US"/>
        </w:rPr>
      </w:pPr>
      <w:r w:rsidRPr="008C5158">
        <w:rPr>
          <w:rFonts w:ascii="Arial" w:eastAsia="Times New Roman" w:hAnsi="Arial" w:cs="Arial"/>
          <w:lang w:val="en-US"/>
        </w:rPr>
        <w:t xml:space="preserve">Between 1 April 2017 and 30 September 2019, there are six deaths that have been/are being reviewed through safeguarding processes. Learning will be updated when this is available.  </w:t>
      </w:r>
    </w:p>
    <w:p w:rsidR="00D76D13" w:rsidRPr="008C5158" w:rsidRDefault="00D76D13" w:rsidP="00D76D13">
      <w:pPr>
        <w:spacing w:line="240" w:lineRule="auto"/>
        <w:rPr>
          <w:rFonts w:ascii="Arial" w:eastAsia="Times New Roman" w:hAnsi="Arial" w:cs="Arial"/>
          <w:lang w:val="en-US"/>
        </w:rPr>
      </w:pPr>
      <w:r w:rsidRPr="008C5158">
        <w:rPr>
          <w:rFonts w:ascii="Arial" w:eastAsia="Times New Roman" w:hAnsi="Arial" w:cs="Arial"/>
          <w:lang w:val="en-US"/>
        </w:rPr>
        <w:t xml:space="preserve">Three of these cases have some initial findings recorded pending further safeguarding review. One is recorded as being concluded. Themes from these are included </w:t>
      </w:r>
      <w:r w:rsidR="00D85148" w:rsidRPr="008C5158">
        <w:rPr>
          <w:rFonts w:ascii="Arial" w:eastAsia="Times New Roman" w:hAnsi="Arial" w:cs="Arial"/>
          <w:lang w:val="en-US"/>
        </w:rPr>
        <w:t>below;</w:t>
      </w:r>
      <w:r w:rsidRPr="008C5158">
        <w:rPr>
          <w:rFonts w:ascii="Arial" w:eastAsia="Times New Roman" w:hAnsi="Arial" w:cs="Arial"/>
          <w:lang w:val="en-US"/>
        </w:rPr>
        <w:t xml:space="preserve"> more than one theme can be added to a record:</w:t>
      </w:r>
    </w:p>
    <w:tbl>
      <w:tblPr>
        <w:tblW w:w="5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276"/>
      </w:tblGrid>
      <w:tr w:rsidR="00D76D13" w:rsidRPr="008C5158" w:rsidTr="00777BD8">
        <w:trPr>
          <w:trHeight w:val="300"/>
        </w:trPr>
        <w:tc>
          <w:tcPr>
            <w:tcW w:w="4551" w:type="dxa"/>
            <w:shd w:val="clear" w:color="auto" w:fill="auto"/>
            <w:noWrap/>
            <w:vAlign w:val="bottom"/>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Record keeping</w:t>
            </w:r>
          </w:p>
        </w:tc>
        <w:tc>
          <w:tcPr>
            <w:tcW w:w="1276" w:type="dxa"/>
            <w:shd w:val="clear" w:color="auto" w:fill="auto"/>
            <w:noWrap/>
            <w:vAlign w:val="bottom"/>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r w:rsidR="00D76D13" w:rsidRPr="008C5158" w:rsidTr="00777BD8">
        <w:trPr>
          <w:trHeight w:val="300"/>
        </w:trPr>
        <w:tc>
          <w:tcPr>
            <w:tcW w:w="4551" w:type="dxa"/>
            <w:shd w:val="clear" w:color="auto" w:fill="auto"/>
            <w:noWrap/>
            <w:vAlign w:val="bottom"/>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Environment</w:t>
            </w:r>
          </w:p>
        </w:tc>
        <w:tc>
          <w:tcPr>
            <w:tcW w:w="1276" w:type="dxa"/>
            <w:shd w:val="clear" w:color="auto" w:fill="auto"/>
            <w:noWrap/>
            <w:vAlign w:val="bottom"/>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r w:rsidR="00D76D13" w:rsidRPr="008C5158" w:rsidTr="00777BD8">
        <w:trPr>
          <w:trHeight w:val="300"/>
        </w:trPr>
        <w:tc>
          <w:tcPr>
            <w:tcW w:w="4551" w:type="dxa"/>
            <w:shd w:val="clear" w:color="auto" w:fill="auto"/>
            <w:noWrap/>
            <w:vAlign w:val="bottom"/>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Risk assessment</w:t>
            </w:r>
          </w:p>
        </w:tc>
        <w:tc>
          <w:tcPr>
            <w:tcW w:w="1276" w:type="dxa"/>
            <w:shd w:val="clear" w:color="auto" w:fill="auto"/>
            <w:noWrap/>
            <w:vAlign w:val="bottom"/>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r w:rsidR="00D76D13" w:rsidRPr="008C5158" w:rsidTr="00777BD8">
        <w:trPr>
          <w:trHeight w:val="300"/>
        </w:trPr>
        <w:tc>
          <w:tcPr>
            <w:tcW w:w="4551" w:type="dxa"/>
            <w:shd w:val="clear" w:color="auto" w:fill="auto"/>
            <w:noWrap/>
            <w:vAlign w:val="bottom"/>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Physical health</w:t>
            </w:r>
          </w:p>
        </w:tc>
        <w:tc>
          <w:tcPr>
            <w:tcW w:w="1276" w:type="dxa"/>
            <w:shd w:val="clear" w:color="auto" w:fill="auto"/>
            <w:noWrap/>
            <w:vAlign w:val="bottom"/>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r w:rsidR="00D76D13" w:rsidRPr="008C5158" w:rsidTr="00777BD8">
        <w:trPr>
          <w:trHeight w:val="300"/>
        </w:trPr>
        <w:tc>
          <w:tcPr>
            <w:tcW w:w="4551" w:type="dxa"/>
            <w:shd w:val="clear" w:color="auto" w:fill="auto"/>
            <w:noWrap/>
            <w:vAlign w:val="bottom"/>
          </w:tcPr>
          <w:p w:rsidR="00D76D13" w:rsidRPr="008C5158" w:rsidRDefault="00D76D13" w:rsidP="009A31D7">
            <w:pPr>
              <w:spacing w:after="0" w:line="240" w:lineRule="auto"/>
              <w:rPr>
                <w:rFonts w:ascii="Arial" w:eastAsia="Times New Roman" w:hAnsi="Arial" w:cs="Arial"/>
                <w:color w:val="000000"/>
              </w:rPr>
            </w:pPr>
            <w:r w:rsidRPr="008C5158">
              <w:rPr>
                <w:rFonts w:ascii="Arial" w:eastAsia="Times New Roman" w:hAnsi="Arial" w:cs="Arial"/>
                <w:color w:val="000000"/>
              </w:rPr>
              <w:t>Patient Engagement</w:t>
            </w:r>
          </w:p>
        </w:tc>
        <w:tc>
          <w:tcPr>
            <w:tcW w:w="1276" w:type="dxa"/>
            <w:shd w:val="clear" w:color="auto" w:fill="auto"/>
            <w:noWrap/>
            <w:vAlign w:val="bottom"/>
          </w:tcPr>
          <w:p w:rsidR="00D76D13" w:rsidRPr="008C5158" w:rsidRDefault="00D76D13" w:rsidP="009A31D7">
            <w:pPr>
              <w:spacing w:after="0" w:line="240" w:lineRule="auto"/>
              <w:jc w:val="right"/>
              <w:rPr>
                <w:rFonts w:ascii="Arial" w:eastAsia="Times New Roman" w:hAnsi="Arial" w:cs="Arial"/>
                <w:color w:val="000000"/>
              </w:rPr>
            </w:pPr>
            <w:r w:rsidRPr="008C5158">
              <w:rPr>
                <w:rFonts w:ascii="Arial" w:eastAsia="Times New Roman" w:hAnsi="Arial" w:cs="Arial"/>
                <w:color w:val="000000"/>
              </w:rPr>
              <w:t>1</w:t>
            </w:r>
          </w:p>
        </w:tc>
      </w:tr>
    </w:tbl>
    <w:p w:rsidR="00D76D13" w:rsidRPr="008C5158" w:rsidRDefault="00D76D13" w:rsidP="00D76D13">
      <w:pPr>
        <w:pStyle w:val="ListParagraph"/>
        <w:spacing w:line="240" w:lineRule="auto"/>
        <w:rPr>
          <w:rFonts w:ascii="Arial" w:eastAsia="Times New Roman" w:hAnsi="Arial" w:cs="Arial"/>
          <w:color w:val="FF0000"/>
          <w:highlight w:val="yellow"/>
          <w:lang w:val="en-US"/>
        </w:rPr>
      </w:pPr>
    </w:p>
    <w:p w:rsidR="00D76D13" w:rsidRPr="00BA4FE2" w:rsidRDefault="00D76D13" w:rsidP="00D76D13">
      <w:pPr>
        <w:pStyle w:val="ListParagraph"/>
        <w:numPr>
          <w:ilvl w:val="1"/>
          <w:numId w:val="29"/>
        </w:numPr>
        <w:spacing w:line="240" w:lineRule="auto"/>
        <w:rPr>
          <w:rFonts w:ascii="Arial" w:eastAsia="MS Mincho" w:hAnsi="Arial" w:cs="Arial"/>
          <w:b/>
          <w:lang w:eastAsia="ar-SA"/>
        </w:rPr>
      </w:pPr>
      <w:r>
        <w:rPr>
          <w:rFonts w:ascii="Arial" w:eastAsia="MS Mincho" w:hAnsi="Arial" w:cs="Arial"/>
          <w:b/>
          <w:lang w:eastAsia="ar-SA"/>
        </w:rPr>
        <w:tab/>
      </w:r>
      <w:r w:rsidRPr="00BA4FE2">
        <w:rPr>
          <w:rFonts w:ascii="Arial" w:eastAsia="MS Mincho" w:hAnsi="Arial" w:cs="Arial"/>
          <w:b/>
          <w:lang w:eastAsia="ar-SA"/>
        </w:rPr>
        <w:t>Learning disability reviews</w:t>
      </w:r>
    </w:p>
    <w:p w:rsidR="00D76D13" w:rsidRPr="008C5158" w:rsidRDefault="00D76D13" w:rsidP="00D76D13">
      <w:pPr>
        <w:spacing w:line="240" w:lineRule="auto"/>
        <w:rPr>
          <w:rFonts w:ascii="Arial" w:hAnsi="Arial" w:cs="Arial"/>
          <w:lang w:bidi="en-US"/>
        </w:rPr>
      </w:pPr>
      <w:r w:rsidRPr="008C5158">
        <w:rPr>
          <w:rFonts w:ascii="Arial" w:hAnsi="Arial" w:cs="Arial"/>
          <w:lang w:bidi="en-US"/>
        </w:rPr>
        <w:t>The Mortality Review Group has agreed that for any learning disability deaths, the managers 48 hour review will be completed, and in some cases a Structured Judgement Review will be requested to enable internal learning. This is alongside the LeDeR programme.   Learning from any Structured Judgement reviews will be included above.</w:t>
      </w:r>
      <w:r>
        <w:rPr>
          <w:rFonts w:ascii="Arial" w:hAnsi="Arial" w:cs="Arial"/>
          <w:lang w:bidi="en-US"/>
        </w:rPr>
        <w:t xml:space="preserve"> </w:t>
      </w:r>
      <w:r w:rsidRPr="002A610F">
        <w:rPr>
          <w:rFonts w:ascii="Arial" w:hAnsi="Arial" w:cs="Arial"/>
          <w:lang w:bidi="en-US"/>
        </w:rPr>
        <w:t xml:space="preserve">Feedback from the Learning Disability Mortality Review programme (LeDeR) reported to Trust board is available in </w:t>
      </w:r>
      <w:r>
        <w:rPr>
          <w:rFonts w:ascii="Arial" w:hAnsi="Arial" w:cs="Arial"/>
          <w:lang w:bidi="en-US"/>
        </w:rPr>
        <w:t xml:space="preserve">Appendix B. </w:t>
      </w:r>
    </w:p>
    <w:p w:rsidR="00D76D13" w:rsidRPr="005A61DA" w:rsidRDefault="00D76D13" w:rsidP="00D76D13">
      <w:pPr>
        <w:spacing w:line="240" w:lineRule="auto"/>
        <w:rPr>
          <w:rFonts w:ascii="Arial" w:hAnsi="Arial" w:cs="Arial"/>
          <w:b/>
          <w:color w:val="0070C0"/>
          <w:sz w:val="24"/>
          <w:szCs w:val="24"/>
        </w:rPr>
      </w:pPr>
      <w:r>
        <w:rPr>
          <w:rFonts w:ascii="Arial" w:hAnsi="Arial" w:cs="Arial"/>
          <w:b/>
          <w:color w:val="0070C0"/>
          <w:sz w:val="24"/>
          <w:szCs w:val="24"/>
        </w:rPr>
        <w:t>3</w:t>
      </w:r>
      <w:r>
        <w:rPr>
          <w:rFonts w:ascii="Arial" w:hAnsi="Arial" w:cs="Arial"/>
          <w:b/>
          <w:color w:val="0070C0"/>
          <w:sz w:val="24"/>
          <w:szCs w:val="24"/>
        </w:rPr>
        <w:tab/>
      </w:r>
      <w:r w:rsidRPr="005A61DA">
        <w:rPr>
          <w:rFonts w:ascii="Arial" w:hAnsi="Arial" w:cs="Arial"/>
          <w:b/>
          <w:color w:val="0070C0"/>
          <w:sz w:val="24"/>
          <w:szCs w:val="24"/>
        </w:rPr>
        <w:t xml:space="preserve">Next Steps </w:t>
      </w:r>
    </w:p>
    <w:p w:rsidR="00D76D13" w:rsidRPr="0091300A" w:rsidRDefault="00D76D13" w:rsidP="00D76D13">
      <w:pPr>
        <w:spacing w:line="240" w:lineRule="auto"/>
        <w:rPr>
          <w:rFonts w:ascii="Arial" w:eastAsia="Times New Roman" w:hAnsi="Arial" w:cs="Arial"/>
          <w:b/>
          <w:bCs/>
          <w:color w:val="000000"/>
        </w:rPr>
      </w:pPr>
      <w:r>
        <w:rPr>
          <w:rFonts w:ascii="Arial" w:eastAsia="Times New Roman" w:hAnsi="Arial" w:cs="Arial"/>
          <w:b/>
          <w:bCs/>
          <w:color w:val="000000"/>
        </w:rPr>
        <w:t>3.1</w:t>
      </w:r>
      <w:r>
        <w:rPr>
          <w:rFonts w:ascii="Arial" w:eastAsia="Times New Roman" w:hAnsi="Arial" w:cs="Arial"/>
          <w:b/>
          <w:bCs/>
          <w:color w:val="000000"/>
        </w:rPr>
        <w:tab/>
      </w:r>
      <w:r w:rsidRPr="0091300A">
        <w:rPr>
          <w:rFonts w:ascii="Arial" w:eastAsia="Times New Roman" w:hAnsi="Arial" w:cs="Arial"/>
          <w:b/>
          <w:bCs/>
          <w:color w:val="000000"/>
        </w:rPr>
        <w:t>Thematic Review</w:t>
      </w:r>
    </w:p>
    <w:p w:rsidR="00D76D13" w:rsidRDefault="00D76D13" w:rsidP="00D76D13">
      <w:pPr>
        <w:spacing w:line="240" w:lineRule="auto"/>
        <w:rPr>
          <w:rFonts w:ascii="Arial" w:eastAsia="Times New Roman" w:hAnsi="Arial" w:cs="Arial"/>
          <w:bCs/>
          <w:color w:val="000000"/>
        </w:rPr>
      </w:pPr>
      <w:r w:rsidRPr="003B138B">
        <w:rPr>
          <w:rFonts w:ascii="Arial" w:eastAsia="Times New Roman" w:hAnsi="Arial" w:cs="Arial"/>
          <w:bCs/>
          <w:color w:val="000000"/>
        </w:rPr>
        <w:t xml:space="preserve">The </w:t>
      </w:r>
      <w:r>
        <w:rPr>
          <w:rFonts w:ascii="Arial" w:eastAsia="Times New Roman" w:hAnsi="Arial" w:cs="Arial"/>
          <w:bCs/>
          <w:color w:val="000000"/>
        </w:rPr>
        <w:t xml:space="preserve">Clinical Mortality Review Group has developed the provisional timetable (Appendix A) to facilitate the ongoing review of thematic data related to the </w:t>
      </w:r>
      <w:r w:rsidRPr="003B138B">
        <w:rPr>
          <w:rFonts w:ascii="Arial" w:eastAsia="Times New Roman" w:hAnsi="Arial" w:cs="Arial"/>
          <w:bCs/>
          <w:color w:val="000000"/>
        </w:rPr>
        <w:t>top 10 themes</w:t>
      </w:r>
      <w:r>
        <w:rPr>
          <w:rFonts w:ascii="Arial" w:eastAsia="Times New Roman" w:hAnsi="Arial" w:cs="Arial"/>
          <w:bCs/>
          <w:color w:val="000000"/>
        </w:rPr>
        <w:t xml:space="preserve">. The volume of data available has vastly increased so a staggered approach to reviewing by theme is now necessary to manage content.   </w:t>
      </w:r>
    </w:p>
    <w:p w:rsidR="00D76D13" w:rsidRDefault="00D76D13" w:rsidP="00D76D13">
      <w:pPr>
        <w:spacing w:line="240" w:lineRule="auto"/>
        <w:rPr>
          <w:rFonts w:ascii="Arial" w:eastAsia="Times New Roman" w:hAnsi="Arial" w:cs="Arial"/>
          <w:bCs/>
          <w:color w:val="000000"/>
        </w:rPr>
      </w:pPr>
      <w:r>
        <w:rPr>
          <w:rFonts w:ascii="Arial" w:eastAsia="Times New Roman" w:hAnsi="Arial" w:cs="Arial"/>
          <w:bCs/>
          <w:color w:val="000000"/>
        </w:rPr>
        <w:t xml:space="preserve">Each theme has or will be reviewed by the group through group-work or task and finish group. The aim is to develop </w:t>
      </w:r>
      <w:r w:rsidRPr="0041152E">
        <w:rPr>
          <w:rFonts w:ascii="Arial" w:hAnsi="Arial" w:cs="Arial"/>
        </w:rPr>
        <w:t xml:space="preserve">prepared </w:t>
      </w:r>
      <w:hyperlink r:id="rId20" w:history="1">
        <w:r w:rsidRPr="0041152E">
          <w:rPr>
            <w:rStyle w:val="Hyperlink"/>
            <w:rFonts w:ascii="Arial" w:hAnsi="Arial" w:cs="Arial"/>
          </w:rPr>
          <w:t>Learning library</w:t>
        </w:r>
      </w:hyperlink>
      <w:r>
        <w:rPr>
          <w:rFonts w:ascii="Arial" w:hAnsi="Arial" w:cs="Arial"/>
        </w:rPr>
        <w:t xml:space="preserve"> </w:t>
      </w:r>
      <w:r>
        <w:rPr>
          <w:rFonts w:ascii="Arial" w:eastAsia="Times New Roman" w:hAnsi="Arial" w:cs="Arial"/>
          <w:bCs/>
          <w:color w:val="000000"/>
        </w:rPr>
        <w:t xml:space="preserve">summaries using the SBAR headings (Situation, Background, Analysis, Recommendation) as the vehicle to share </w:t>
      </w:r>
      <w:r w:rsidRPr="003B138B">
        <w:rPr>
          <w:rFonts w:ascii="Arial" w:eastAsia="Times New Roman" w:hAnsi="Arial" w:cs="Arial"/>
          <w:bCs/>
          <w:color w:val="000000"/>
          <w:lang w:eastAsia="en-US"/>
        </w:rPr>
        <w:t xml:space="preserve">key messages and common learning points related to </w:t>
      </w:r>
      <w:r>
        <w:rPr>
          <w:rFonts w:ascii="Arial" w:eastAsia="Times New Roman" w:hAnsi="Arial" w:cs="Arial"/>
          <w:bCs/>
          <w:color w:val="000000"/>
        </w:rPr>
        <w:t xml:space="preserve">each theme. In some cases, specialist advisors will be asked to support their development. </w:t>
      </w:r>
    </w:p>
    <w:p w:rsidR="00D76D13" w:rsidRDefault="00D76D13" w:rsidP="00D76D13">
      <w:pPr>
        <w:tabs>
          <w:tab w:val="num" w:pos="720"/>
        </w:tabs>
        <w:spacing w:line="240" w:lineRule="auto"/>
        <w:rPr>
          <w:rFonts w:ascii="Arial" w:eastAsia="Times New Roman" w:hAnsi="Arial" w:cs="Arial"/>
          <w:bCs/>
          <w:color w:val="000000"/>
        </w:rPr>
      </w:pPr>
      <w:r>
        <w:rPr>
          <w:rFonts w:ascii="Arial" w:eastAsia="Times New Roman" w:hAnsi="Arial" w:cs="Arial"/>
          <w:bCs/>
          <w:color w:val="000000"/>
        </w:rPr>
        <w:t xml:space="preserve">The completed SBAR learning summaries will be added to the </w:t>
      </w:r>
      <w:r w:rsidRPr="003B138B">
        <w:rPr>
          <w:rFonts w:ascii="Arial" w:eastAsia="Times New Roman" w:hAnsi="Arial" w:cs="Arial"/>
          <w:bCs/>
          <w:color w:val="000000"/>
        </w:rPr>
        <w:t xml:space="preserve">Learning Library K drive folder, and shared on the </w:t>
      </w:r>
      <w:r>
        <w:rPr>
          <w:rFonts w:ascii="Arial" w:eastAsia="Times New Roman" w:hAnsi="Arial" w:cs="Arial"/>
          <w:bCs/>
          <w:color w:val="000000"/>
        </w:rPr>
        <w:t xml:space="preserve">Learning Library </w:t>
      </w:r>
      <w:r w:rsidRPr="003B138B">
        <w:rPr>
          <w:rFonts w:ascii="Arial" w:eastAsia="Times New Roman" w:hAnsi="Arial" w:cs="Arial"/>
          <w:bCs/>
          <w:color w:val="000000"/>
        </w:rPr>
        <w:t>intranet page</w:t>
      </w:r>
      <w:r>
        <w:rPr>
          <w:rFonts w:ascii="Arial" w:eastAsia="Times New Roman" w:hAnsi="Arial" w:cs="Arial"/>
          <w:bCs/>
          <w:color w:val="000000"/>
        </w:rPr>
        <w:t>s</w:t>
      </w:r>
      <w:r w:rsidRPr="003B138B">
        <w:rPr>
          <w:rFonts w:ascii="Arial" w:eastAsia="Times New Roman" w:hAnsi="Arial" w:cs="Arial"/>
          <w:bCs/>
          <w:color w:val="000000"/>
        </w:rPr>
        <w:t xml:space="preserve">, </w:t>
      </w:r>
      <w:r>
        <w:rPr>
          <w:rFonts w:ascii="Arial" w:eastAsia="Times New Roman" w:hAnsi="Arial" w:cs="Arial"/>
          <w:bCs/>
          <w:color w:val="000000"/>
        </w:rPr>
        <w:t>through the</w:t>
      </w:r>
      <w:r w:rsidRPr="003B138B">
        <w:rPr>
          <w:rFonts w:ascii="Arial" w:eastAsia="Times New Roman" w:hAnsi="Arial" w:cs="Arial"/>
          <w:bCs/>
          <w:color w:val="000000"/>
        </w:rPr>
        <w:t xml:space="preserve"> </w:t>
      </w:r>
      <w:r>
        <w:rPr>
          <w:rFonts w:ascii="Arial" w:eastAsia="Times New Roman" w:hAnsi="Arial" w:cs="Arial"/>
          <w:bCs/>
          <w:color w:val="000000"/>
        </w:rPr>
        <w:t>‘</w:t>
      </w:r>
      <w:r w:rsidRPr="003B138B">
        <w:rPr>
          <w:rFonts w:ascii="Arial" w:eastAsia="Times New Roman" w:hAnsi="Arial" w:cs="Arial"/>
          <w:bCs/>
          <w:color w:val="000000"/>
        </w:rPr>
        <w:t>Headlines</w:t>
      </w:r>
      <w:r>
        <w:rPr>
          <w:rFonts w:ascii="Arial" w:eastAsia="Times New Roman" w:hAnsi="Arial" w:cs="Arial"/>
          <w:bCs/>
          <w:color w:val="000000"/>
        </w:rPr>
        <w:t>’ communication and reported back through Learning from Healthcare Deaths reports and Clinical Mortality Review group</w:t>
      </w:r>
      <w:r w:rsidRPr="003B138B">
        <w:rPr>
          <w:rFonts w:ascii="Arial" w:eastAsia="Times New Roman" w:hAnsi="Arial" w:cs="Arial"/>
          <w:bCs/>
          <w:color w:val="000000"/>
        </w:rPr>
        <w:t>.</w:t>
      </w:r>
    </w:p>
    <w:p w:rsidR="00D76D13" w:rsidRDefault="00D76D13" w:rsidP="00D76D13">
      <w:pPr>
        <w:tabs>
          <w:tab w:val="num" w:pos="720"/>
        </w:tabs>
        <w:spacing w:line="240" w:lineRule="auto"/>
        <w:rPr>
          <w:rFonts w:ascii="Arial" w:eastAsia="Times New Roman" w:hAnsi="Arial" w:cs="Arial"/>
          <w:bCs/>
          <w:color w:val="000000"/>
        </w:rPr>
      </w:pPr>
      <w:r>
        <w:rPr>
          <w:rFonts w:ascii="Arial" w:eastAsia="Times New Roman" w:hAnsi="Arial" w:cs="Arial"/>
          <w:bCs/>
          <w:color w:val="000000"/>
        </w:rPr>
        <w:t>As further data becomes available, this will be added to the sources of information being used.</w:t>
      </w:r>
      <w:r w:rsidRPr="003B138B">
        <w:rPr>
          <w:rFonts w:ascii="Arial" w:eastAsia="Times New Roman" w:hAnsi="Arial" w:cs="Arial"/>
          <w:bCs/>
          <w:color w:val="000000"/>
        </w:rPr>
        <w:t xml:space="preserve"> </w:t>
      </w:r>
    </w:p>
    <w:p w:rsidR="00D76D13" w:rsidRDefault="00777BD8" w:rsidP="00D76D13">
      <w:pPr>
        <w:pStyle w:val="Default"/>
        <w:rPr>
          <w:color w:val="auto"/>
          <w:sz w:val="22"/>
          <w:szCs w:val="22"/>
        </w:rPr>
      </w:pPr>
      <w:r>
        <w:rPr>
          <w:color w:val="auto"/>
          <w:sz w:val="22"/>
          <w:szCs w:val="22"/>
        </w:rPr>
        <w:t>R</w:t>
      </w:r>
      <w:r w:rsidR="00D76D13">
        <w:rPr>
          <w:color w:val="auto"/>
          <w:sz w:val="22"/>
          <w:szCs w:val="22"/>
        </w:rPr>
        <w:t>eport prepared by</w:t>
      </w:r>
    </w:p>
    <w:p w:rsidR="00D76D13" w:rsidRDefault="00D76D13" w:rsidP="00D76D13">
      <w:pPr>
        <w:pStyle w:val="Default"/>
        <w:rPr>
          <w:color w:val="auto"/>
          <w:sz w:val="22"/>
          <w:szCs w:val="22"/>
        </w:rPr>
      </w:pPr>
    </w:p>
    <w:p w:rsidR="00777BD8" w:rsidRDefault="00777BD8" w:rsidP="00D76D13">
      <w:pPr>
        <w:pStyle w:val="Default"/>
        <w:rPr>
          <w:color w:val="auto"/>
          <w:sz w:val="22"/>
          <w:szCs w:val="22"/>
        </w:rPr>
      </w:pPr>
    </w:p>
    <w:p w:rsidR="00D76D13" w:rsidRDefault="00D76D13" w:rsidP="00D76D13">
      <w:pPr>
        <w:pStyle w:val="Default"/>
        <w:rPr>
          <w:color w:val="auto"/>
          <w:sz w:val="22"/>
          <w:szCs w:val="22"/>
        </w:rPr>
      </w:pPr>
      <w:r>
        <w:rPr>
          <w:color w:val="auto"/>
          <w:sz w:val="22"/>
          <w:szCs w:val="22"/>
        </w:rPr>
        <w:t>Helen Roberts</w:t>
      </w:r>
    </w:p>
    <w:p w:rsidR="00D76D13" w:rsidRDefault="00D76D13" w:rsidP="00D76D13">
      <w:pPr>
        <w:pStyle w:val="Default"/>
        <w:rPr>
          <w:color w:val="auto"/>
          <w:sz w:val="22"/>
          <w:szCs w:val="22"/>
        </w:rPr>
      </w:pPr>
      <w:r>
        <w:rPr>
          <w:color w:val="auto"/>
          <w:sz w:val="22"/>
          <w:szCs w:val="22"/>
        </w:rPr>
        <w:t>Patient Safety Manager</w:t>
      </w:r>
    </w:p>
    <w:p w:rsidR="00D76D13" w:rsidRDefault="00777BD8" w:rsidP="00777BD8">
      <w:pPr>
        <w:pStyle w:val="Default"/>
        <w:rPr>
          <w:lang w:bidi="en-US"/>
        </w:rPr>
        <w:sectPr w:rsidR="00D76D13" w:rsidSect="00777BD8">
          <w:pgSz w:w="11906" w:h="16838"/>
          <w:pgMar w:top="1276" w:right="851" w:bottom="993" w:left="993" w:header="708" w:footer="708" w:gutter="0"/>
          <w:cols w:space="708"/>
          <w:docGrid w:linePitch="360"/>
        </w:sectPr>
      </w:pPr>
      <w:r>
        <w:rPr>
          <w:color w:val="auto"/>
          <w:sz w:val="22"/>
          <w:szCs w:val="22"/>
        </w:rPr>
        <w:t>December</w:t>
      </w:r>
      <w:r w:rsidR="00D76D13">
        <w:rPr>
          <w:color w:val="auto"/>
          <w:sz w:val="22"/>
          <w:szCs w:val="22"/>
        </w:rPr>
        <w:t xml:space="preserve"> 2019</w:t>
      </w:r>
      <w:r w:rsidR="00D76D13">
        <w:rPr>
          <w:lang w:bidi="en-US"/>
        </w:rPr>
        <w:br w:type="page"/>
      </w:r>
    </w:p>
    <w:p w:rsidR="00D76D13" w:rsidRPr="00C22F48" w:rsidRDefault="00D76D13" w:rsidP="00D76D13">
      <w:pPr>
        <w:tabs>
          <w:tab w:val="num" w:pos="720"/>
        </w:tabs>
        <w:spacing w:line="240" w:lineRule="auto"/>
        <w:jc w:val="right"/>
        <w:rPr>
          <w:rFonts w:ascii="Arial" w:eastAsia="Times New Roman" w:hAnsi="Arial" w:cs="Arial"/>
          <w:b/>
          <w:bCs/>
          <w:color w:val="000000"/>
        </w:rPr>
      </w:pPr>
      <w:r w:rsidRPr="00C22F48">
        <w:rPr>
          <w:rFonts w:ascii="Arial" w:eastAsia="Times New Roman" w:hAnsi="Arial" w:cs="Arial"/>
          <w:b/>
          <w:bCs/>
          <w:color w:val="000000"/>
        </w:rPr>
        <w:lastRenderedPageBreak/>
        <w:t xml:space="preserve">Appendix </w:t>
      </w:r>
      <w:r w:rsidR="00617475">
        <w:rPr>
          <w:rFonts w:ascii="Arial" w:eastAsia="Times New Roman" w:hAnsi="Arial" w:cs="Arial"/>
          <w:b/>
          <w:bCs/>
          <w:color w:val="000000"/>
        </w:rPr>
        <w:t>A</w:t>
      </w:r>
    </w:p>
    <w:p w:rsidR="00D76D13" w:rsidRPr="00C22F48" w:rsidRDefault="00D76D13" w:rsidP="00D76D13">
      <w:pPr>
        <w:tabs>
          <w:tab w:val="num" w:pos="720"/>
        </w:tabs>
        <w:spacing w:line="240" w:lineRule="auto"/>
        <w:rPr>
          <w:rFonts w:ascii="Arial" w:eastAsia="Times New Roman" w:hAnsi="Arial" w:cs="Arial"/>
          <w:b/>
          <w:bCs/>
          <w:color w:val="000000"/>
        </w:rPr>
      </w:pPr>
      <w:r>
        <w:rPr>
          <w:rFonts w:ascii="Arial" w:eastAsia="Times New Roman" w:hAnsi="Arial" w:cs="Arial"/>
          <w:b/>
          <w:bCs/>
          <w:color w:val="000000"/>
        </w:rPr>
        <w:t>P</w:t>
      </w:r>
      <w:r w:rsidRPr="00C22F48">
        <w:rPr>
          <w:rFonts w:ascii="Arial" w:eastAsia="Times New Roman" w:hAnsi="Arial" w:cs="Arial"/>
          <w:b/>
          <w:bCs/>
          <w:color w:val="000000"/>
        </w:rPr>
        <w:t>rovisional timetable</w:t>
      </w:r>
      <w:r>
        <w:rPr>
          <w:rFonts w:ascii="Arial" w:eastAsia="Times New Roman" w:hAnsi="Arial" w:cs="Arial"/>
          <w:b/>
          <w:bCs/>
          <w:color w:val="000000"/>
        </w:rPr>
        <w:t xml:space="preserve"> for reviewing Learning from Deaths - T</w:t>
      </w:r>
      <w:r w:rsidRPr="00C22F48">
        <w:rPr>
          <w:rFonts w:ascii="Arial" w:eastAsia="Times New Roman" w:hAnsi="Arial" w:cs="Arial"/>
          <w:b/>
          <w:bCs/>
          <w:color w:val="000000"/>
        </w:rPr>
        <w:t>hematic data</w:t>
      </w:r>
      <w:r>
        <w:rPr>
          <w:rFonts w:ascii="Arial" w:eastAsia="Times New Roman" w:hAnsi="Arial" w:cs="Arial"/>
          <w:b/>
          <w:bCs/>
          <w:color w:val="000000"/>
        </w:rPr>
        <w:t xml:space="preserve"> </w:t>
      </w:r>
      <w:r w:rsidRPr="00DC4A43">
        <w:rPr>
          <w:rFonts w:ascii="Arial" w:eastAsia="Times New Roman" w:hAnsi="Arial" w:cs="Arial"/>
          <w:bCs/>
          <w:color w:val="000000"/>
        </w:rPr>
        <w:t>(this document will be updated separately)</w:t>
      </w:r>
    </w:p>
    <w:tbl>
      <w:tblPr>
        <w:tblStyle w:val="TableGrid"/>
        <w:tblW w:w="14850" w:type="dxa"/>
        <w:tblLook w:val="04A0" w:firstRow="1" w:lastRow="0" w:firstColumn="1" w:lastColumn="0" w:noHBand="0" w:noVBand="1"/>
      </w:tblPr>
      <w:tblGrid>
        <w:gridCol w:w="3227"/>
        <w:gridCol w:w="2410"/>
        <w:gridCol w:w="3827"/>
        <w:gridCol w:w="1276"/>
        <w:gridCol w:w="4110"/>
      </w:tblGrid>
      <w:tr w:rsidR="00D76D13" w:rsidTr="009A31D7">
        <w:tc>
          <w:tcPr>
            <w:tcW w:w="3227" w:type="dxa"/>
          </w:tcPr>
          <w:p w:rsidR="00D76D13" w:rsidRPr="008C5158" w:rsidRDefault="00D76D13" w:rsidP="009A31D7">
            <w:pPr>
              <w:rPr>
                <w:rFonts w:ascii="Arial" w:eastAsia="Times New Roman" w:hAnsi="Arial" w:cs="Arial"/>
                <w:b/>
                <w:bCs/>
                <w:color w:val="000000"/>
              </w:rPr>
            </w:pPr>
            <w:r>
              <w:rPr>
                <w:rFonts w:ascii="Arial" w:eastAsia="Times New Roman" w:hAnsi="Arial" w:cs="Arial"/>
                <w:b/>
                <w:bCs/>
                <w:color w:val="000000"/>
              </w:rPr>
              <w:t>Theme</w:t>
            </w:r>
          </w:p>
        </w:tc>
        <w:tc>
          <w:tcPr>
            <w:tcW w:w="2410" w:type="dxa"/>
          </w:tcPr>
          <w:p w:rsidR="00D76D13" w:rsidRDefault="00D76D13" w:rsidP="009A31D7">
            <w:pPr>
              <w:rPr>
                <w:rFonts w:ascii="Arial" w:eastAsia="Times New Roman" w:hAnsi="Arial" w:cs="Arial"/>
                <w:b/>
                <w:bCs/>
                <w:color w:val="000000"/>
              </w:rPr>
            </w:pPr>
            <w:r>
              <w:rPr>
                <w:rFonts w:ascii="Arial" w:eastAsia="Times New Roman" w:hAnsi="Arial" w:cs="Arial"/>
                <w:b/>
                <w:bCs/>
                <w:color w:val="000000"/>
              </w:rPr>
              <w:t>Source of information</w:t>
            </w:r>
          </w:p>
        </w:tc>
        <w:tc>
          <w:tcPr>
            <w:tcW w:w="3827" w:type="dxa"/>
          </w:tcPr>
          <w:p w:rsidR="00D76D13" w:rsidRDefault="00D76D13" w:rsidP="009A31D7">
            <w:pPr>
              <w:rPr>
                <w:rFonts w:ascii="Arial" w:eastAsia="Times New Roman" w:hAnsi="Arial" w:cs="Arial"/>
                <w:b/>
                <w:bCs/>
                <w:color w:val="000000"/>
              </w:rPr>
            </w:pPr>
            <w:r>
              <w:rPr>
                <w:rFonts w:ascii="Arial" w:eastAsia="Times New Roman" w:hAnsi="Arial" w:cs="Arial"/>
                <w:b/>
                <w:bCs/>
                <w:color w:val="000000"/>
              </w:rPr>
              <w:t>Review process</w:t>
            </w:r>
          </w:p>
        </w:tc>
        <w:tc>
          <w:tcPr>
            <w:tcW w:w="1276" w:type="dxa"/>
          </w:tcPr>
          <w:p w:rsidR="00D76D13" w:rsidRDefault="00D76D13" w:rsidP="009A31D7">
            <w:pPr>
              <w:rPr>
                <w:rFonts w:ascii="Arial" w:eastAsia="Times New Roman" w:hAnsi="Arial" w:cs="Arial"/>
                <w:b/>
                <w:bCs/>
                <w:color w:val="000000"/>
              </w:rPr>
            </w:pPr>
            <w:r>
              <w:rPr>
                <w:rFonts w:ascii="Arial" w:eastAsia="Times New Roman" w:hAnsi="Arial" w:cs="Arial"/>
                <w:b/>
                <w:bCs/>
                <w:color w:val="000000"/>
              </w:rPr>
              <w:t>Financial Quarter</w:t>
            </w:r>
          </w:p>
        </w:tc>
        <w:tc>
          <w:tcPr>
            <w:tcW w:w="4110" w:type="dxa"/>
          </w:tcPr>
          <w:p w:rsidR="00D76D13" w:rsidRDefault="00D76D13" w:rsidP="009A31D7">
            <w:pPr>
              <w:rPr>
                <w:rFonts w:ascii="Arial" w:eastAsia="Times New Roman" w:hAnsi="Arial" w:cs="Arial"/>
                <w:b/>
                <w:bCs/>
                <w:color w:val="000000"/>
              </w:rPr>
            </w:pPr>
            <w:r>
              <w:rPr>
                <w:rFonts w:ascii="Arial" w:eastAsia="Times New Roman" w:hAnsi="Arial" w:cs="Arial"/>
                <w:b/>
                <w:bCs/>
                <w:color w:val="000000"/>
              </w:rPr>
              <w:t xml:space="preserve">Action </w:t>
            </w:r>
          </w:p>
          <w:p w:rsidR="00D76D13" w:rsidRPr="005A11D6" w:rsidRDefault="00D76D13" w:rsidP="009A31D7">
            <w:pPr>
              <w:rPr>
                <w:rFonts w:ascii="Arial" w:eastAsia="Times New Roman" w:hAnsi="Arial" w:cs="Arial"/>
                <w:bCs/>
                <w:i/>
                <w:color w:val="000000"/>
              </w:rPr>
            </w:pPr>
            <w:r w:rsidRPr="005A11D6">
              <w:rPr>
                <w:rFonts w:ascii="Arial" w:eastAsia="Times New Roman" w:hAnsi="Arial" w:cs="Arial"/>
                <w:bCs/>
                <w:i/>
                <w:color w:val="000000"/>
              </w:rPr>
              <w:t>Hyperlinks will be added as content is available</w:t>
            </w:r>
          </w:p>
        </w:tc>
      </w:tr>
      <w:tr w:rsidR="00D76D13" w:rsidTr="009A31D7">
        <w:trPr>
          <w:trHeight w:val="878"/>
        </w:trPr>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Record keeping</w:t>
            </w:r>
            <w:r w:rsidRPr="008C5158">
              <w:rPr>
                <w:rFonts w:ascii="Arial" w:eastAsia="Times New Roman" w:hAnsi="Arial" w:cs="Arial"/>
                <w:color w:val="000000"/>
              </w:rPr>
              <w:t xml:space="preserve"> &amp; documentation</w:t>
            </w:r>
            <w:r>
              <w:rPr>
                <w:rFonts w:ascii="Arial" w:eastAsia="Times New Roman" w:hAnsi="Arial" w:cs="Arial"/>
                <w:color w:val="000000"/>
              </w:rPr>
              <w:t xml:space="preserve"> and information governance</w:t>
            </w:r>
            <w:r w:rsidRPr="008C5158">
              <w:rPr>
                <w:rFonts w:ascii="Arial" w:eastAsia="Times New Roman" w:hAnsi="Arial" w:cs="Arial"/>
                <w:color w:val="000000"/>
              </w:rPr>
              <w:t xml:space="preserve"> </w:t>
            </w:r>
          </w:p>
        </w:tc>
        <w:tc>
          <w:tcPr>
            <w:tcW w:w="2410" w:type="dxa"/>
          </w:tcPr>
          <w:p w:rsidR="00D76D13" w:rsidRPr="00A62E29" w:rsidRDefault="00D76D13" w:rsidP="009A31D7">
            <w:pPr>
              <w:rPr>
                <w:rFonts w:ascii="Arial" w:eastAsia="Times New Roman" w:hAnsi="Arial" w:cs="Arial"/>
                <w:bCs/>
                <w:color w:val="000000"/>
              </w:rPr>
            </w:pPr>
            <w:r w:rsidRPr="00A62E29">
              <w:rPr>
                <w:rFonts w:ascii="Arial" w:eastAsia="Times New Roman" w:hAnsi="Arial" w:cs="Arial"/>
                <w:bCs/>
                <w:color w:val="000000"/>
              </w:rPr>
              <w:t>SIs, investigations</w:t>
            </w:r>
          </w:p>
        </w:tc>
        <w:tc>
          <w:tcPr>
            <w:tcW w:w="3827" w:type="dxa"/>
          </w:tcPr>
          <w:p w:rsidR="00D76D13" w:rsidRPr="00C22F48" w:rsidRDefault="00D76D13" w:rsidP="009A31D7">
            <w:pPr>
              <w:rPr>
                <w:rFonts w:ascii="Arial" w:eastAsia="Times New Roman" w:hAnsi="Arial" w:cs="Arial"/>
                <w:bCs/>
                <w:color w:val="000000"/>
              </w:rPr>
            </w:pPr>
            <w:r>
              <w:rPr>
                <w:rFonts w:ascii="Arial" w:eastAsia="Times New Roman" w:hAnsi="Arial" w:cs="Arial"/>
                <w:bCs/>
                <w:color w:val="000000"/>
              </w:rPr>
              <w:t xml:space="preserve">Information Governance group </w:t>
            </w:r>
          </w:p>
        </w:tc>
        <w:tc>
          <w:tcPr>
            <w:tcW w:w="1276" w:type="dxa"/>
          </w:tcPr>
          <w:p w:rsidR="00D76D13" w:rsidRDefault="00D76D13" w:rsidP="009A31D7">
            <w:pPr>
              <w:rPr>
                <w:rFonts w:ascii="Arial" w:eastAsia="Times New Roman" w:hAnsi="Arial" w:cs="Arial"/>
                <w:bCs/>
                <w:color w:val="000000"/>
              </w:rPr>
            </w:pPr>
            <w:r w:rsidRPr="00144225">
              <w:rPr>
                <w:rFonts w:ascii="Arial" w:eastAsia="Times New Roman" w:hAnsi="Arial" w:cs="Arial"/>
                <w:bCs/>
                <w:color w:val="000000"/>
              </w:rPr>
              <w:t xml:space="preserve">Quarter </w:t>
            </w:r>
            <w:r>
              <w:rPr>
                <w:rFonts w:ascii="Arial" w:eastAsia="Times New Roman" w:hAnsi="Arial" w:cs="Arial"/>
                <w:bCs/>
                <w:color w:val="000000"/>
              </w:rPr>
              <w:t>1</w:t>
            </w:r>
          </w:p>
          <w:p w:rsidR="00D76D13" w:rsidRPr="00144225" w:rsidRDefault="00D76D13" w:rsidP="009A31D7">
            <w:pPr>
              <w:rPr>
                <w:rFonts w:ascii="Arial" w:eastAsia="Times New Roman" w:hAnsi="Arial" w:cs="Arial"/>
                <w:bCs/>
                <w:color w:val="000000"/>
              </w:rPr>
            </w:pPr>
            <w:r>
              <w:rPr>
                <w:rFonts w:ascii="Arial" w:eastAsia="Times New Roman" w:hAnsi="Arial" w:cs="Arial"/>
                <w:bCs/>
                <w:color w:val="000000"/>
              </w:rPr>
              <w:t>19/20</w:t>
            </w:r>
          </w:p>
        </w:tc>
        <w:tc>
          <w:tcPr>
            <w:tcW w:w="4110" w:type="dxa"/>
          </w:tcPr>
          <w:p w:rsidR="00D76D13" w:rsidRDefault="00617475" w:rsidP="009A31D7">
            <w:pPr>
              <w:rPr>
                <w:rFonts w:ascii="Arial" w:eastAsia="Times New Roman" w:hAnsi="Arial" w:cs="Arial"/>
                <w:b/>
                <w:bCs/>
                <w:color w:val="000000"/>
              </w:rPr>
            </w:pPr>
            <w:hyperlink r:id="rId21" w:history="1">
              <w:r w:rsidR="00D76D13" w:rsidRPr="00144225">
                <w:rPr>
                  <w:rStyle w:val="Hyperlink"/>
                  <w:rFonts w:ascii="Arial" w:eastAsia="Times New Roman" w:hAnsi="Arial" w:cs="Arial"/>
                  <w:b/>
                  <w:bCs/>
                </w:rPr>
                <w:t>Bad news</w:t>
              </w:r>
            </w:hyperlink>
          </w:p>
          <w:p w:rsidR="00D76D13" w:rsidRDefault="00617475" w:rsidP="009A31D7">
            <w:pPr>
              <w:rPr>
                <w:rFonts w:ascii="Arial" w:eastAsia="Times New Roman" w:hAnsi="Arial" w:cs="Arial"/>
                <w:b/>
                <w:bCs/>
                <w:color w:val="000000"/>
              </w:rPr>
            </w:pPr>
            <w:hyperlink r:id="rId22" w:history="1">
              <w:r w:rsidR="00D76D13" w:rsidRPr="00144225">
                <w:rPr>
                  <w:rStyle w:val="Hyperlink"/>
                  <w:rFonts w:ascii="Arial" w:eastAsia="Times New Roman" w:hAnsi="Arial" w:cs="Arial"/>
                  <w:b/>
                  <w:bCs/>
                </w:rPr>
                <w:t>Discharge letters</w:t>
              </w:r>
            </w:hyperlink>
          </w:p>
          <w:p w:rsidR="00D76D13" w:rsidRDefault="00617475" w:rsidP="009A31D7">
            <w:pPr>
              <w:rPr>
                <w:rFonts w:ascii="Arial" w:eastAsia="Times New Roman" w:hAnsi="Arial" w:cs="Arial"/>
                <w:b/>
                <w:bCs/>
                <w:color w:val="000000"/>
              </w:rPr>
            </w:pPr>
            <w:hyperlink r:id="rId23" w:history="1">
              <w:r w:rsidR="00D76D13" w:rsidRPr="00144225">
                <w:rPr>
                  <w:rStyle w:val="Hyperlink"/>
                  <w:rFonts w:ascii="Arial" w:eastAsia="Times New Roman" w:hAnsi="Arial" w:cs="Arial"/>
                  <w:b/>
                  <w:bCs/>
                </w:rPr>
                <w:t>Consensus status</w:t>
              </w:r>
            </w:hyperlink>
          </w:p>
        </w:tc>
      </w:tr>
      <w:tr w:rsidR="00D76D13" w:rsidTr="009A31D7">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Care pathway</w:t>
            </w:r>
            <w:r w:rsidRPr="008C5158">
              <w:rPr>
                <w:rFonts w:ascii="Arial" w:eastAsia="Times New Roman" w:hAnsi="Arial" w:cs="Arial"/>
                <w:color w:val="000000"/>
              </w:rPr>
              <w:t xml:space="preserve"> – referral, access, discharge, transition between agencies, services &amp; related communications  </w:t>
            </w:r>
          </w:p>
        </w:tc>
        <w:tc>
          <w:tcPr>
            <w:tcW w:w="2410" w:type="dxa"/>
          </w:tcPr>
          <w:p w:rsidR="00D76D13" w:rsidRDefault="00D76D13" w:rsidP="009A31D7">
            <w:pPr>
              <w:rPr>
                <w:rFonts w:ascii="Arial" w:eastAsia="Times New Roman" w:hAnsi="Arial" w:cs="Arial"/>
                <w:bCs/>
                <w:color w:val="000000"/>
              </w:rPr>
            </w:pPr>
            <w:r w:rsidRPr="00A62E29">
              <w:rPr>
                <w:rFonts w:ascii="Arial" w:eastAsia="Times New Roman" w:hAnsi="Arial" w:cs="Arial"/>
                <w:bCs/>
                <w:color w:val="000000"/>
              </w:rPr>
              <w:t>SIs, investigations</w:t>
            </w:r>
          </w:p>
          <w:p w:rsidR="00D76D13" w:rsidRDefault="00D76D13" w:rsidP="009A31D7">
            <w:pPr>
              <w:rPr>
                <w:rFonts w:ascii="Arial" w:eastAsia="Times New Roman" w:hAnsi="Arial" w:cs="Arial"/>
                <w:b/>
                <w:bCs/>
                <w:color w:val="000000"/>
              </w:rPr>
            </w:pPr>
            <w:r>
              <w:rPr>
                <w:rFonts w:ascii="Arial" w:eastAsia="Times New Roman" w:hAnsi="Arial" w:cs="Arial"/>
                <w:bCs/>
                <w:color w:val="000000"/>
              </w:rPr>
              <w:t xml:space="preserve">SJR phases of care – allocation / initial review &amp; follow up </w:t>
            </w:r>
          </w:p>
        </w:tc>
        <w:tc>
          <w:tcPr>
            <w:tcW w:w="3827" w:type="dxa"/>
          </w:tcPr>
          <w:p w:rsidR="00D76D13" w:rsidRPr="00C22F48"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p>
        </w:tc>
        <w:tc>
          <w:tcPr>
            <w:tcW w:w="1276" w:type="dxa"/>
          </w:tcPr>
          <w:p w:rsidR="00D76D13" w:rsidRPr="005A11D6" w:rsidRDefault="00D76D13" w:rsidP="009A31D7">
            <w:pPr>
              <w:rPr>
                <w:rFonts w:ascii="Arial" w:eastAsia="Times New Roman" w:hAnsi="Arial" w:cs="Arial"/>
                <w:bCs/>
                <w:color w:val="000000"/>
              </w:rPr>
            </w:pPr>
            <w:r w:rsidRPr="005A11D6">
              <w:rPr>
                <w:rFonts w:ascii="Arial" w:eastAsia="Times New Roman" w:hAnsi="Arial" w:cs="Arial"/>
                <w:bCs/>
                <w:color w:val="000000"/>
              </w:rPr>
              <w:t>Quarter 1</w:t>
            </w: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Risk assessment</w:t>
            </w:r>
            <w:r w:rsidRPr="008C5158">
              <w:rPr>
                <w:rFonts w:ascii="Arial" w:eastAsia="Times New Roman" w:hAnsi="Arial" w:cs="Arial"/>
                <w:color w:val="000000"/>
              </w:rPr>
              <w:t xml:space="preserve">, management &amp; contingency </w:t>
            </w:r>
          </w:p>
        </w:tc>
        <w:tc>
          <w:tcPr>
            <w:tcW w:w="2410" w:type="dxa"/>
          </w:tcPr>
          <w:p w:rsidR="00D76D13" w:rsidRDefault="00D76D13" w:rsidP="009A31D7">
            <w:pPr>
              <w:rPr>
                <w:rFonts w:ascii="Arial" w:eastAsia="Times New Roman" w:hAnsi="Arial" w:cs="Arial"/>
                <w:bCs/>
                <w:color w:val="000000"/>
              </w:rPr>
            </w:pPr>
            <w:r w:rsidRPr="00A62E29">
              <w:rPr>
                <w:rFonts w:ascii="Arial" w:eastAsia="Times New Roman" w:hAnsi="Arial" w:cs="Arial"/>
                <w:bCs/>
                <w:color w:val="000000"/>
              </w:rPr>
              <w:t>SIs, investigations</w:t>
            </w:r>
          </w:p>
          <w:p w:rsidR="00D76D13" w:rsidRDefault="00D76D13" w:rsidP="009A31D7">
            <w:pPr>
              <w:rPr>
                <w:rFonts w:ascii="Arial" w:eastAsia="Times New Roman" w:hAnsi="Arial" w:cs="Arial"/>
                <w:b/>
                <w:bCs/>
                <w:color w:val="000000"/>
              </w:rPr>
            </w:pPr>
            <w:r>
              <w:rPr>
                <w:rFonts w:ascii="Arial" w:eastAsia="Times New Roman" w:hAnsi="Arial" w:cs="Arial"/>
                <w:bCs/>
                <w:color w:val="000000"/>
              </w:rPr>
              <w:t>SJR phase of care</w:t>
            </w:r>
          </w:p>
        </w:tc>
        <w:tc>
          <w:tcPr>
            <w:tcW w:w="3827" w:type="dxa"/>
          </w:tcPr>
          <w:p w:rsidR="00D76D13" w:rsidRPr="00C22F48"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p>
        </w:tc>
        <w:tc>
          <w:tcPr>
            <w:tcW w:w="1276" w:type="dxa"/>
          </w:tcPr>
          <w:p w:rsidR="00D76D13" w:rsidRPr="005A11D6" w:rsidRDefault="00D76D13" w:rsidP="009A31D7">
            <w:pPr>
              <w:rPr>
                <w:rFonts w:ascii="Arial" w:eastAsia="Times New Roman" w:hAnsi="Arial" w:cs="Arial"/>
                <w:bCs/>
                <w:color w:val="000000"/>
              </w:rPr>
            </w:pPr>
            <w:r w:rsidRPr="005A11D6">
              <w:rPr>
                <w:rFonts w:ascii="Arial" w:eastAsia="Times New Roman" w:hAnsi="Arial" w:cs="Arial"/>
                <w:bCs/>
                <w:color w:val="000000"/>
              </w:rPr>
              <w:t>Quarter 1</w:t>
            </w: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Care delivery</w:t>
            </w:r>
            <w:r w:rsidRPr="008C5158">
              <w:rPr>
                <w:rFonts w:ascii="Arial" w:eastAsia="Times New Roman" w:hAnsi="Arial" w:cs="Arial"/>
                <w:color w:val="000000"/>
              </w:rPr>
              <w:t xml:space="preserve"> - needs assessment, diagnosis, care planning, </w:t>
            </w:r>
            <w:r>
              <w:rPr>
                <w:rFonts w:ascii="Arial" w:eastAsia="Times New Roman" w:hAnsi="Arial" w:cs="Arial"/>
                <w:color w:val="000000"/>
              </w:rPr>
              <w:t xml:space="preserve">Care coordination, </w:t>
            </w:r>
            <w:r w:rsidRPr="008C5158">
              <w:rPr>
                <w:rFonts w:ascii="Arial" w:eastAsia="Times New Roman" w:hAnsi="Arial" w:cs="Arial"/>
                <w:color w:val="000000"/>
              </w:rPr>
              <w:t>CPA</w:t>
            </w:r>
            <w:r>
              <w:rPr>
                <w:rFonts w:ascii="Arial" w:eastAsia="Times New Roman" w:hAnsi="Arial" w:cs="Arial"/>
                <w:color w:val="000000"/>
              </w:rPr>
              <w:t>, ongoing care</w:t>
            </w:r>
          </w:p>
        </w:tc>
        <w:tc>
          <w:tcPr>
            <w:tcW w:w="2410" w:type="dxa"/>
          </w:tcPr>
          <w:p w:rsidR="00D76D13" w:rsidRDefault="00D76D13" w:rsidP="009A31D7">
            <w:pPr>
              <w:rPr>
                <w:rFonts w:ascii="Arial" w:eastAsia="Times New Roman" w:hAnsi="Arial" w:cs="Arial"/>
                <w:bCs/>
                <w:color w:val="000000"/>
              </w:rPr>
            </w:pPr>
            <w:r w:rsidRPr="00A62E29">
              <w:rPr>
                <w:rFonts w:ascii="Arial" w:eastAsia="Times New Roman" w:hAnsi="Arial" w:cs="Arial"/>
                <w:bCs/>
                <w:color w:val="000000"/>
              </w:rPr>
              <w:t>SIs, investigations</w:t>
            </w:r>
          </w:p>
          <w:p w:rsidR="00D76D13" w:rsidRDefault="00D76D13" w:rsidP="009A31D7">
            <w:pPr>
              <w:rPr>
                <w:rFonts w:ascii="Arial" w:eastAsia="Times New Roman" w:hAnsi="Arial" w:cs="Arial"/>
                <w:b/>
                <w:bCs/>
                <w:color w:val="000000"/>
              </w:rPr>
            </w:pPr>
            <w:r>
              <w:rPr>
                <w:rFonts w:ascii="Arial" w:eastAsia="Times New Roman" w:hAnsi="Arial" w:cs="Arial"/>
                <w:bCs/>
                <w:color w:val="000000"/>
              </w:rPr>
              <w:t>SJR phases of care – Ongoing Care &amp; Care during admission</w:t>
            </w:r>
          </w:p>
        </w:tc>
        <w:tc>
          <w:tcPr>
            <w:tcW w:w="3827" w:type="dxa"/>
          </w:tcPr>
          <w:p w:rsidR="00D76D13" w:rsidRPr="00C22F48"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p>
        </w:tc>
        <w:tc>
          <w:tcPr>
            <w:tcW w:w="1276" w:type="dxa"/>
          </w:tcPr>
          <w:p w:rsidR="00D76D13" w:rsidRPr="005A11D6" w:rsidRDefault="00D76D13" w:rsidP="009A31D7">
            <w:pPr>
              <w:rPr>
                <w:rFonts w:ascii="Arial" w:eastAsia="Times New Roman" w:hAnsi="Arial" w:cs="Arial"/>
                <w:bCs/>
                <w:color w:val="000000"/>
              </w:rPr>
            </w:pPr>
            <w:r w:rsidRPr="005A11D6">
              <w:rPr>
                <w:rFonts w:ascii="Arial" w:eastAsia="Times New Roman" w:hAnsi="Arial" w:cs="Arial"/>
                <w:bCs/>
                <w:color w:val="000000"/>
              </w:rPr>
              <w:t>Quarter 2</w:t>
            </w: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Default="00D76D13" w:rsidP="009A31D7">
            <w:pPr>
              <w:rPr>
                <w:rFonts w:ascii="Arial" w:eastAsia="Times New Roman" w:hAnsi="Arial" w:cs="Arial"/>
                <w:color w:val="000000"/>
              </w:rPr>
            </w:pPr>
            <w:r w:rsidRPr="008C5158">
              <w:rPr>
                <w:rFonts w:ascii="Arial" w:eastAsia="Times New Roman" w:hAnsi="Arial" w:cs="Arial"/>
                <w:b/>
                <w:bCs/>
                <w:color w:val="000000"/>
              </w:rPr>
              <w:t>Policy &amp; procedures</w:t>
            </w:r>
            <w:r w:rsidRPr="008C5158">
              <w:rPr>
                <w:rFonts w:ascii="Arial" w:eastAsia="Times New Roman" w:hAnsi="Arial" w:cs="Arial"/>
                <w:color w:val="000000"/>
              </w:rPr>
              <w:t xml:space="preserve"> </w:t>
            </w:r>
            <w:r>
              <w:rPr>
                <w:rFonts w:ascii="Arial" w:eastAsia="Times New Roman" w:hAnsi="Arial" w:cs="Arial"/>
                <w:color w:val="000000"/>
              </w:rPr>
              <w:t xml:space="preserve"> </w:t>
            </w:r>
          </w:p>
          <w:p w:rsidR="00D76D13" w:rsidRPr="00DF33CF" w:rsidRDefault="00D76D13" w:rsidP="00D76D13">
            <w:pPr>
              <w:pStyle w:val="ListParagraph"/>
              <w:numPr>
                <w:ilvl w:val="0"/>
                <w:numId w:val="31"/>
              </w:numPr>
              <w:ind w:left="142" w:hanging="142"/>
              <w:rPr>
                <w:rFonts w:ascii="Arial" w:eastAsia="Times New Roman" w:hAnsi="Arial" w:cs="Arial"/>
                <w:b/>
                <w:bCs/>
                <w:color w:val="000000"/>
              </w:rPr>
            </w:pPr>
            <w:r w:rsidRPr="00DF33CF">
              <w:rPr>
                <w:rFonts w:ascii="Arial" w:eastAsia="Times New Roman" w:hAnsi="Arial" w:cs="Arial"/>
                <w:color w:val="000000"/>
              </w:rPr>
              <w:t>in place but not adhered to</w:t>
            </w:r>
          </w:p>
          <w:p w:rsidR="00D76D13" w:rsidRPr="00A62E29" w:rsidRDefault="00D76D13" w:rsidP="00D76D13">
            <w:pPr>
              <w:pStyle w:val="ListParagraph"/>
              <w:numPr>
                <w:ilvl w:val="0"/>
                <w:numId w:val="31"/>
              </w:numPr>
              <w:ind w:left="142" w:hanging="142"/>
              <w:rPr>
                <w:rFonts w:ascii="Arial" w:eastAsia="Times New Roman" w:hAnsi="Arial" w:cs="Arial"/>
                <w:b/>
                <w:bCs/>
                <w:color w:val="000000"/>
              </w:rPr>
            </w:pPr>
            <w:r>
              <w:rPr>
                <w:rFonts w:ascii="Arial" w:eastAsia="Times New Roman" w:hAnsi="Arial" w:cs="Arial"/>
                <w:color w:val="000000"/>
              </w:rPr>
              <w:t>n</w:t>
            </w:r>
            <w:r w:rsidRPr="00A62E29">
              <w:rPr>
                <w:rFonts w:ascii="Arial" w:eastAsia="Times New Roman" w:hAnsi="Arial" w:cs="Arial"/>
                <w:color w:val="000000"/>
              </w:rPr>
              <w:t>ot in place</w:t>
            </w:r>
          </w:p>
        </w:tc>
        <w:tc>
          <w:tcPr>
            <w:tcW w:w="2410"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SIs, investigations</w:t>
            </w:r>
          </w:p>
        </w:tc>
        <w:tc>
          <w:tcPr>
            <w:tcW w:w="3827" w:type="dxa"/>
          </w:tcPr>
          <w:p w:rsidR="00D76D13" w:rsidRPr="00C22F48"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p>
        </w:tc>
        <w:tc>
          <w:tcPr>
            <w:tcW w:w="1276" w:type="dxa"/>
          </w:tcPr>
          <w:p w:rsidR="00D76D13" w:rsidRPr="005A11D6" w:rsidRDefault="00D76D13" w:rsidP="009A31D7">
            <w:pPr>
              <w:rPr>
                <w:rFonts w:ascii="Arial" w:eastAsia="Times New Roman" w:hAnsi="Arial" w:cs="Arial"/>
                <w:bCs/>
                <w:color w:val="000000"/>
              </w:rPr>
            </w:pPr>
            <w:r w:rsidRPr="005A11D6">
              <w:rPr>
                <w:rFonts w:ascii="Arial" w:eastAsia="Times New Roman" w:hAnsi="Arial" w:cs="Arial"/>
                <w:bCs/>
                <w:color w:val="000000"/>
              </w:rPr>
              <w:t>Quarter 2</w:t>
            </w: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Staff attitude</w:t>
            </w:r>
            <w:r w:rsidRPr="008C5158">
              <w:rPr>
                <w:rFonts w:ascii="Arial" w:eastAsia="Times New Roman" w:hAnsi="Arial" w:cs="Arial"/>
                <w:color w:val="000000"/>
              </w:rPr>
              <w:t>, conduct, professional practice</w:t>
            </w:r>
          </w:p>
        </w:tc>
        <w:tc>
          <w:tcPr>
            <w:tcW w:w="2410" w:type="dxa"/>
          </w:tcPr>
          <w:p w:rsidR="00D76D13" w:rsidRPr="00A62E29" w:rsidRDefault="00D76D13" w:rsidP="009A31D7">
            <w:pPr>
              <w:rPr>
                <w:rFonts w:ascii="Arial" w:eastAsia="Times New Roman" w:hAnsi="Arial" w:cs="Arial"/>
                <w:bCs/>
                <w:color w:val="000000"/>
              </w:rPr>
            </w:pPr>
            <w:r w:rsidRPr="00A62E29">
              <w:rPr>
                <w:rFonts w:ascii="Arial" w:eastAsia="Times New Roman" w:hAnsi="Arial" w:cs="Arial"/>
                <w:bCs/>
                <w:color w:val="000000"/>
              </w:rPr>
              <w:t>SIs, investigations</w:t>
            </w:r>
          </w:p>
        </w:tc>
        <w:tc>
          <w:tcPr>
            <w:tcW w:w="3827"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 xml:space="preserve">Clinical Mortality Review Group </w:t>
            </w:r>
          </w:p>
        </w:tc>
        <w:tc>
          <w:tcPr>
            <w:tcW w:w="1276" w:type="dxa"/>
          </w:tcPr>
          <w:p w:rsidR="00D76D13" w:rsidRDefault="00D76D13" w:rsidP="009A31D7">
            <w:r w:rsidRPr="00DD05AB">
              <w:rPr>
                <w:rFonts w:ascii="Arial" w:eastAsia="Times New Roman" w:hAnsi="Arial" w:cs="Arial"/>
                <w:bCs/>
                <w:color w:val="000000"/>
              </w:rPr>
              <w:t xml:space="preserve">Quarter </w:t>
            </w:r>
            <w:r>
              <w:rPr>
                <w:rFonts w:ascii="Arial" w:eastAsia="Times New Roman" w:hAnsi="Arial" w:cs="Arial"/>
                <w:bCs/>
                <w:color w:val="000000"/>
              </w:rPr>
              <w:t>2</w:t>
            </w:r>
            <w:r w:rsidRPr="00DD05AB">
              <w:rPr>
                <w:rFonts w:ascii="Arial" w:eastAsia="Times New Roman" w:hAnsi="Arial" w:cs="Arial"/>
                <w:bCs/>
                <w:color w:val="000000"/>
              </w:rPr>
              <w:t xml:space="preserve"> </w:t>
            </w: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Default="00D76D13" w:rsidP="009A31D7">
            <w:pPr>
              <w:rPr>
                <w:rFonts w:ascii="Arial" w:eastAsia="Times New Roman" w:hAnsi="Arial" w:cs="Arial"/>
                <w:b/>
                <w:bCs/>
                <w:color w:val="000000"/>
              </w:rPr>
            </w:pPr>
            <w:r w:rsidRPr="008C5158">
              <w:rPr>
                <w:rFonts w:ascii="Arial" w:eastAsia="Times New Roman" w:hAnsi="Arial" w:cs="Arial"/>
                <w:b/>
                <w:bCs/>
                <w:color w:val="000000"/>
              </w:rPr>
              <w:t>Carers/family</w:t>
            </w:r>
            <w:r w:rsidRPr="008C5158">
              <w:rPr>
                <w:rFonts w:ascii="Arial" w:eastAsia="Times New Roman" w:hAnsi="Arial" w:cs="Arial"/>
                <w:color w:val="000000"/>
              </w:rPr>
              <w:t xml:space="preserve"> – communication, liaison, assessment  </w:t>
            </w:r>
          </w:p>
        </w:tc>
        <w:tc>
          <w:tcPr>
            <w:tcW w:w="2410" w:type="dxa"/>
          </w:tcPr>
          <w:p w:rsidR="00D76D13" w:rsidRDefault="00D76D13" w:rsidP="009A31D7">
            <w:pPr>
              <w:rPr>
                <w:rFonts w:ascii="Arial" w:eastAsia="Times New Roman" w:hAnsi="Arial" w:cs="Arial"/>
                <w:bCs/>
                <w:color w:val="000000"/>
              </w:rPr>
            </w:pPr>
            <w:r>
              <w:rPr>
                <w:rFonts w:ascii="Arial" w:eastAsia="Times New Roman" w:hAnsi="Arial" w:cs="Arial"/>
                <w:bCs/>
                <w:color w:val="000000"/>
              </w:rPr>
              <w:t>SJR content</w:t>
            </w:r>
            <w:r w:rsidRPr="00A62E29">
              <w:rPr>
                <w:rFonts w:ascii="Arial" w:eastAsia="Times New Roman" w:hAnsi="Arial" w:cs="Arial"/>
                <w:bCs/>
                <w:color w:val="000000"/>
              </w:rPr>
              <w:t xml:space="preserve">, </w:t>
            </w:r>
          </w:p>
          <w:p w:rsidR="00D76D13" w:rsidRPr="00A62E29" w:rsidRDefault="00D76D13" w:rsidP="009A31D7">
            <w:pPr>
              <w:rPr>
                <w:rFonts w:ascii="Arial" w:eastAsia="Times New Roman" w:hAnsi="Arial" w:cs="Arial"/>
                <w:bCs/>
                <w:color w:val="000000"/>
              </w:rPr>
            </w:pPr>
            <w:r w:rsidRPr="00A62E29">
              <w:rPr>
                <w:rFonts w:ascii="Arial" w:eastAsia="Times New Roman" w:hAnsi="Arial" w:cs="Arial"/>
                <w:bCs/>
                <w:color w:val="000000"/>
              </w:rPr>
              <w:t>SIs</w:t>
            </w:r>
            <w:r>
              <w:rPr>
                <w:rFonts w:ascii="Arial" w:eastAsia="Times New Roman" w:hAnsi="Arial" w:cs="Arial"/>
                <w:bCs/>
                <w:color w:val="000000"/>
              </w:rPr>
              <w:t>,</w:t>
            </w:r>
            <w:r w:rsidRPr="00A62E29">
              <w:rPr>
                <w:rFonts w:ascii="Arial" w:eastAsia="Times New Roman" w:hAnsi="Arial" w:cs="Arial"/>
                <w:bCs/>
                <w:color w:val="000000"/>
              </w:rPr>
              <w:t xml:space="preserve"> investigations</w:t>
            </w:r>
          </w:p>
        </w:tc>
        <w:tc>
          <w:tcPr>
            <w:tcW w:w="3827" w:type="dxa"/>
          </w:tcPr>
          <w:p w:rsidR="00D76D13" w:rsidRPr="00A62E29" w:rsidRDefault="00D76D13" w:rsidP="009A31D7">
            <w:pPr>
              <w:rPr>
                <w:rFonts w:ascii="Arial" w:eastAsia="Times New Roman" w:hAnsi="Arial" w:cs="Arial"/>
                <w:bCs/>
                <w:color w:val="000000"/>
              </w:rPr>
            </w:pPr>
            <w:r w:rsidRPr="00A62E29">
              <w:rPr>
                <w:rFonts w:ascii="Arial" w:eastAsia="Times New Roman" w:hAnsi="Arial" w:cs="Arial"/>
                <w:bCs/>
                <w:color w:val="000000"/>
              </w:rPr>
              <w:t xml:space="preserve">Clinical Mortality Review Group 18/11/19 </w:t>
            </w:r>
          </w:p>
        </w:tc>
        <w:tc>
          <w:tcPr>
            <w:tcW w:w="1276" w:type="dxa"/>
          </w:tcPr>
          <w:p w:rsidR="00D76D13" w:rsidRDefault="00D76D13" w:rsidP="009A31D7">
            <w:pPr>
              <w:rPr>
                <w:rFonts w:ascii="Arial" w:eastAsia="Times New Roman" w:hAnsi="Arial" w:cs="Arial"/>
                <w:bCs/>
                <w:color w:val="000000"/>
              </w:rPr>
            </w:pPr>
            <w:r w:rsidRPr="00144225">
              <w:rPr>
                <w:rFonts w:ascii="Arial" w:eastAsia="Times New Roman" w:hAnsi="Arial" w:cs="Arial"/>
                <w:bCs/>
                <w:color w:val="000000"/>
              </w:rPr>
              <w:t xml:space="preserve">Quarter </w:t>
            </w:r>
            <w:r>
              <w:rPr>
                <w:rFonts w:ascii="Arial" w:eastAsia="Times New Roman" w:hAnsi="Arial" w:cs="Arial"/>
                <w:bCs/>
                <w:color w:val="000000"/>
              </w:rPr>
              <w:t>3</w:t>
            </w:r>
          </w:p>
          <w:p w:rsidR="00D76D13" w:rsidRPr="00A62E29" w:rsidRDefault="00D76D13" w:rsidP="009A31D7">
            <w:pPr>
              <w:rPr>
                <w:rFonts w:ascii="Arial" w:eastAsia="Times New Roman" w:hAnsi="Arial" w:cs="Arial"/>
                <w:bCs/>
                <w:color w:val="000000"/>
              </w:rPr>
            </w:pPr>
          </w:p>
        </w:tc>
        <w:tc>
          <w:tcPr>
            <w:tcW w:w="4110" w:type="dxa"/>
          </w:tcPr>
          <w:p w:rsidR="00D76D13" w:rsidRPr="00A62E29" w:rsidRDefault="00D76D13" w:rsidP="009A31D7">
            <w:pPr>
              <w:rPr>
                <w:rFonts w:ascii="Arial" w:eastAsia="Times New Roman" w:hAnsi="Arial" w:cs="Arial"/>
                <w:bCs/>
                <w:color w:val="000000"/>
              </w:rPr>
            </w:pPr>
            <w:r w:rsidRPr="00A62E29">
              <w:rPr>
                <w:rFonts w:ascii="Arial" w:eastAsia="Times New Roman" w:hAnsi="Arial" w:cs="Arial"/>
                <w:bCs/>
                <w:color w:val="000000"/>
              </w:rPr>
              <w:t>SBARs being prepared around:</w:t>
            </w:r>
          </w:p>
          <w:p w:rsidR="00D76D13" w:rsidRPr="00A62E29" w:rsidRDefault="00D76D13" w:rsidP="00777BD8">
            <w:pPr>
              <w:rPr>
                <w:rFonts w:ascii="Arial" w:eastAsia="Times New Roman" w:hAnsi="Arial" w:cs="Arial"/>
                <w:bCs/>
                <w:color w:val="000000"/>
              </w:rPr>
            </w:pPr>
            <w:r w:rsidRPr="00A62E29">
              <w:rPr>
                <w:rFonts w:ascii="Arial" w:eastAsia="Times New Roman" w:hAnsi="Arial" w:cs="Arial"/>
                <w:bCs/>
                <w:color w:val="000000"/>
              </w:rPr>
              <w:t xml:space="preserve">Information will be shared via Headlines </w:t>
            </w:r>
          </w:p>
        </w:tc>
      </w:tr>
      <w:tr w:rsidR="00D76D13" w:rsidTr="009A31D7">
        <w:tc>
          <w:tcPr>
            <w:tcW w:w="3227" w:type="dxa"/>
          </w:tcPr>
          <w:p w:rsidR="00D76D13" w:rsidRPr="008C5158" w:rsidRDefault="00D76D13" w:rsidP="009A31D7">
            <w:pPr>
              <w:rPr>
                <w:rFonts w:ascii="Arial" w:eastAsia="Times New Roman" w:hAnsi="Arial" w:cs="Arial"/>
                <w:b/>
                <w:bCs/>
                <w:color w:val="000000"/>
              </w:rPr>
            </w:pPr>
            <w:r>
              <w:rPr>
                <w:rFonts w:ascii="Arial" w:eastAsia="Times New Roman" w:hAnsi="Arial" w:cs="Arial"/>
                <w:b/>
                <w:bCs/>
                <w:color w:val="000000"/>
              </w:rPr>
              <w:t xml:space="preserve">Other </w:t>
            </w:r>
          </w:p>
        </w:tc>
        <w:tc>
          <w:tcPr>
            <w:tcW w:w="2410" w:type="dxa"/>
          </w:tcPr>
          <w:p w:rsidR="00D76D13" w:rsidRPr="00A62E29" w:rsidRDefault="00D76D13" w:rsidP="009A31D7">
            <w:pPr>
              <w:rPr>
                <w:rFonts w:ascii="Arial" w:eastAsia="Times New Roman" w:hAnsi="Arial" w:cs="Arial"/>
                <w:bCs/>
                <w:color w:val="000000"/>
              </w:rPr>
            </w:pPr>
            <w:r>
              <w:rPr>
                <w:rFonts w:ascii="Arial" w:eastAsia="Times New Roman" w:hAnsi="Arial" w:cs="Arial"/>
                <w:bCs/>
                <w:color w:val="000000"/>
              </w:rPr>
              <w:t>SIs, investigations</w:t>
            </w:r>
          </w:p>
        </w:tc>
        <w:tc>
          <w:tcPr>
            <w:tcW w:w="3827" w:type="dxa"/>
          </w:tcPr>
          <w:p w:rsidR="00D76D13"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r>
              <w:rPr>
                <w:rFonts w:ascii="Arial" w:eastAsia="Times New Roman" w:hAnsi="Arial" w:cs="Arial"/>
                <w:bCs/>
                <w:color w:val="000000"/>
              </w:rPr>
              <w:t xml:space="preserve"> and task and finish group</w:t>
            </w:r>
          </w:p>
        </w:tc>
        <w:tc>
          <w:tcPr>
            <w:tcW w:w="1276" w:type="dxa"/>
          </w:tcPr>
          <w:p w:rsidR="00D76D13" w:rsidRDefault="00D76D13" w:rsidP="009A31D7">
            <w:pPr>
              <w:rPr>
                <w:rFonts w:ascii="Arial" w:eastAsia="Times New Roman" w:hAnsi="Arial" w:cs="Arial"/>
                <w:bCs/>
                <w:color w:val="000000"/>
              </w:rPr>
            </w:pPr>
            <w:r w:rsidRPr="00144225">
              <w:rPr>
                <w:rFonts w:ascii="Arial" w:eastAsia="Times New Roman" w:hAnsi="Arial" w:cs="Arial"/>
                <w:bCs/>
                <w:color w:val="000000"/>
              </w:rPr>
              <w:t xml:space="preserve">Quarter </w:t>
            </w:r>
            <w:r>
              <w:rPr>
                <w:rFonts w:ascii="Arial" w:eastAsia="Times New Roman" w:hAnsi="Arial" w:cs="Arial"/>
                <w:bCs/>
                <w:color w:val="000000"/>
              </w:rPr>
              <w:t>3</w:t>
            </w:r>
          </w:p>
          <w:p w:rsidR="00D76D13" w:rsidRDefault="00D76D13" w:rsidP="009A31D7">
            <w:pPr>
              <w:rPr>
                <w:rFonts w:ascii="Arial" w:eastAsia="Times New Roman" w:hAnsi="Arial" w:cs="Arial"/>
                <w:b/>
                <w:bCs/>
                <w:color w:val="000000"/>
              </w:rPr>
            </w:pPr>
          </w:p>
        </w:tc>
        <w:tc>
          <w:tcPr>
            <w:tcW w:w="4110"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SBAR being prepared around</w:t>
            </w:r>
            <w:r>
              <w:rPr>
                <w:rFonts w:ascii="Arial" w:eastAsia="Times New Roman" w:hAnsi="Arial" w:cs="Arial"/>
                <w:bCs/>
                <w:color w:val="000000"/>
              </w:rPr>
              <w:t xml:space="preserve"> choking</w:t>
            </w:r>
          </w:p>
        </w:tc>
      </w:tr>
      <w:tr w:rsidR="00D76D13" w:rsidTr="009A31D7">
        <w:trPr>
          <w:trHeight w:val="574"/>
        </w:trPr>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Team/service systems</w:t>
            </w:r>
            <w:r w:rsidRPr="008C5158">
              <w:rPr>
                <w:rFonts w:ascii="Arial" w:eastAsia="Times New Roman" w:hAnsi="Arial" w:cs="Arial"/>
                <w:color w:val="000000"/>
              </w:rPr>
              <w:t xml:space="preserve">, roles &amp; management </w:t>
            </w:r>
          </w:p>
        </w:tc>
        <w:tc>
          <w:tcPr>
            <w:tcW w:w="2410"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SIs, investigations</w:t>
            </w:r>
          </w:p>
        </w:tc>
        <w:tc>
          <w:tcPr>
            <w:tcW w:w="3827" w:type="dxa"/>
          </w:tcPr>
          <w:p w:rsidR="00D76D13" w:rsidRPr="00C22F48"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p>
        </w:tc>
        <w:tc>
          <w:tcPr>
            <w:tcW w:w="1276" w:type="dxa"/>
          </w:tcPr>
          <w:p w:rsidR="00D76D13" w:rsidRDefault="00D76D13" w:rsidP="009A31D7">
            <w:pPr>
              <w:rPr>
                <w:rFonts w:ascii="Arial" w:eastAsia="Times New Roman" w:hAnsi="Arial" w:cs="Arial"/>
                <w:bCs/>
                <w:color w:val="000000"/>
              </w:rPr>
            </w:pPr>
            <w:r w:rsidRPr="00144225">
              <w:rPr>
                <w:rFonts w:ascii="Arial" w:eastAsia="Times New Roman" w:hAnsi="Arial" w:cs="Arial"/>
                <w:bCs/>
                <w:color w:val="000000"/>
              </w:rPr>
              <w:t xml:space="preserve">Quarter </w:t>
            </w:r>
            <w:r>
              <w:rPr>
                <w:rFonts w:ascii="Arial" w:eastAsia="Times New Roman" w:hAnsi="Arial" w:cs="Arial"/>
                <w:bCs/>
                <w:color w:val="000000"/>
              </w:rPr>
              <w:t>3</w:t>
            </w:r>
          </w:p>
          <w:p w:rsidR="00D76D13" w:rsidRDefault="00D76D13" w:rsidP="009A31D7">
            <w:pPr>
              <w:rPr>
                <w:rFonts w:ascii="Arial" w:eastAsia="Times New Roman" w:hAnsi="Arial" w:cs="Arial"/>
                <w:b/>
                <w:bCs/>
                <w:color w:val="000000"/>
              </w:rPr>
            </w:pP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 xml:space="preserve">Organisational systems, </w:t>
            </w:r>
            <w:r w:rsidRPr="008C5158">
              <w:rPr>
                <w:rFonts w:ascii="Arial" w:eastAsia="Times New Roman" w:hAnsi="Arial" w:cs="Arial"/>
                <w:color w:val="000000"/>
              </w:rPr>
              <w:t>management issues</w:t>
            </w:r>
          </w:p>
        </w:tc>
        <w:tc>
          <w:tcPr>
            <w:tcW w:w="2410"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SIs, investigations</w:t>
            </w:r>
          </w:p>
        </w:tc>
        <w:tc>
          <w:tcPr>
            <w:tcW w:w="3827" w:type="dxa"/>
          </w:tcPr>
          <w:p w:rsidR="00D76D13" w:rsidRPr="00C22F48"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p>
        </w:tc>
        <w:tc>
          <w:tcPr>
            <w:tcW w:w="1276" w:type="dxa"/>
          </w:tcPr>
          <w:p w:rsidR="00D76D13" w:rsidRDefault="00D76D13" w:rsidP="009A31D7">
            <w:pPr>
              <w:rPr>
                <w:rFonts w:ascii="Arial" w:eastAsia="Times New Roman" w:hAnsi="Arial" w:cs="Arial"/>
                <w:bCs/>
                <w:color w:val="000000"/>
              </w:rPr>
            </w:pPr>
            <w:r w:rsidRPr="00144225">
              <w:rPr>
                <w:rFonts w:ascii="Arial" w:eastAsia="Times New Roman" w:hAnsi="Arial" w:cs="Arial"/>
                <w:bCs/>
                <w:color w:val="000000"/>
              </w:rPr>
              <w:t xml:space="preserve">Quarter </w:t>
            </w:r>
            <w:r>
              <w:rPr>
                <w:rFonts w:ascii="Arial" w:eastAsia="Times New Roman" w:hAnsi="Arial" w:cs="Arial"/>
                <w:bCs/>
                <w:color w:val="000000"/>
              </w:rPr>
              <w:t>3</w:t>
            </w:r>
          </w:p>
          <w:p w:rsidR="00D76D13" w:rsidRDefault="00D76D13" w:rsidP="009A31D7">
            <w:pPr>
              <w:rPr>
                <w:rFonts w:ascii="Arial" w:eastAsia="Times New Roman" w:hAnsi="Arial" w:cs="Arial"/>
                <w:b/>
                <w:bCs/>
                <w:color w:val="000000"/>
              </w:rPr>
            </w:pP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Communication</w:t>
            </w:r>
            <w:r w:rsidRPr="008C5158">
              <w:rPr>
                <w:rFonts w:ascii="Arial" w:eastAsia="Times New Roman" w:hAnsi="Arial" w:cs="Arial"/>
                <w:color w:val="000000"/>
              </w:rPr>
              <w:t xml:space="preserve"> between staff (same service)</w:t>
            </w:r>
          </w:p>
        </w:tc>
        <w:tc>
          <w:tcPr>
            <w:tcW w:w="2410"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SIs, investigations</w:t>
            </w:r>
          </w:p>
        </w:tc>
        <w:tc>
          <w:tcPr>
            <w:tcW w:w="3827"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 xml:space="preserve">Clinical Mortality Review Group </w:t>
            </w:r>
          </w:p>
        </w:tc>
        <w:tc>
          <w:tcPr>
            <w:tcW w:w="1276" w:type="dxa"/>
          </w:tcPr>
          <w:p w:rsidR="00D76D13" w:rsidRDefault="00D76D13" w:rsidP="009A31D7">
            <w:pPr>
              <w:rPr>
                <w:rFonts w:ascii="Arial" w:eastAsia="Times New Roman" w:hAnsi="Arial" w:cs="Arial"/>
                <w:b/>
                <w:bCs/>
                <w:color w:val="000000"/>
              </w:rPr>
            </w:pPr>
            <w:r>
              <w:rPr>
                <w:rFonts w:ascii="Arial" w:eastAsia="Times New Roman" w:hAnsi="Arial" w:cs="Arial"/>
                <w:bCs/>
                <w:color w:val="000000"/>
              </w:rPr>
              <w:t xml:space="preserve">Quarter 4 </w:t>
            </w: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Staff education, training &amp; supervision</w:t>
            </w:r>
          </w:p>
        </w:tc>
        <w:tc>
          <w:tcPr>
            <w:tcW w:w="2410"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SIs, investigations</w:t>
            </w:r>
          </w:p>
        </w:tc>
        <w:tc>
          <w:tcPr>
            <w:tcW w:w="3827" w:type="dxa"/>
          </w:tcPr>
          <w:p w:rsidR="00D76D13" w:rsidRDefault="00D76D13" w:rsidP="009A31D7">
            <w:pPr>
              <w:rPr>
                <w:rFonts w:ascii="Arial" w:eastAsia="Times New Roman" w:hAnsi="Arial" w:cs="Arial"/>
                <w:b/>
                <w:bCs/>
                <w:color w:val="000000"/>
              </w:rPr>
            </w:pPr>
            <w:r w:rsidRPr="00A62E29">
              <w:rPr>
                <w:rFonts w:ascii="Arial" w:eastAsia="Times New Roman" w:hAnsi="Arial" w:cs="Arial"/>
                <w:bCs/>
                <w:color w:val="000000"/>
              </w:rPr>
              <w:t xml:space="preserve">Clinical Mortality Review Group </w:t>
            </w:r>
          </w:p>
        </w:tc>
        <w:tc>
          <w:tcPr>
            <w:tcW w:w="1276" w:type="dxa"/>
          </w:tcPr>
          <w:p w:rsidR="00D76D13" w:rsidRDefault="00D76D13" w:rsidP="009A31D7">
            <w:r w:rsidRPr="00DD05AB">
              <w:rPr>
                <w:rFonts w:ascii="Arial" w:eastAsia="Times New Roman" w:hAnsi="Arial" w:cs="Arial"/>
                <w:bCs/>
                <w:color w:val="000000"/>
              </w:rPr>
              <w:t xml:space="preserve">Quarter 4 </w:t>
            </w: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Pr="008C5158" w:rsidRDefault="00D76D13" w:rsidP="009A31D7">
            <w:pPr>
              <w:rPr>
                <w:rFonts w:ascii="Arial" w:eastAsia="Times New Roman" w:hAnsi="Arial" w:cs="Arial"/>
                <w:b/>
                <w:bCs/>
                <w:color w:val="000000"/>
              </w:rPr>
            </w:pPr>
            <w:r>
              <w:rPr>
                <w:rFonts w:ascii="Arial" w:eastAsia="Times New Roman" w:hAnsi="Arial" w:cs="Arial"/>
                <w:b/>
                <w:bCs/>
                <w:color w:val="000000"/>
              </w:rPr>
              <w:lastRenderedPageBreak/>
              <w:t>Medicine management</w:t>
            </w:r>
          </w:p>
        </w:tc>
        <w:tc>
          <w:tcPr>
            <w:tcW w:w="2410" w:type="dxa"/>
          </w:tcPr>
          <w:p w:rsidR="00D76D13" w:rsidRPr="00A62E29" w:rsidRDefault="00D76D13" w:rsidP="009A31D7">
            <w:pPr>
              <w:rPr>
                <w:rFonts w:ascii="Arial" w:eastAsia="Times New Roman" w:hAnsi="Arial" w:cs="Arial"/>
                <w:bCs/>
                <w:color w:val="000000"/>
              </w:rPr>
            </w:pPr>
            <w:r>
              <w:rPr>
                <w:rFonts w:ascii="Arial" w:eastAsia="Times New Roman" w:hAnsi="Arial" w:cs="Arial"/>
                <w:bCs/>
                <w:color w:val="000000"/>
              </w:rPr>
              <w:t xml:space="preserve">SIs, </w:t>
            </w:r>
            <w:r w:rsidRPr="00A62E29">
              <w:rPr>
                <w:rFonts w:ascii="Arial" w:eastAsia="Times New Roman" w:hAnsi="Arial" w:cs="Arial"/>
                <w:bCs/>
                <w:color w:val="000000"/>
              </w:rPr>
              <w:t>investigations</w:t>
            </w:r>
          </w:p>
        </w:tc>
        <w:tc>
          <w:tcPr>
            <w:tcW w:w="3827" w:type="dxa"/>
          </w:tcPr>
          <w:p w:rsidR="00D76D13" w:rsidRPr="00C22F48"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p>
        </w:tc>
        <w:tc>
          <w:tcPr>
            <w:tcW w:w="1276" w:type="dxa"/>
          </w:tcPr>
          <w:p w:rsidR="00D76D13" w:rsidRPr="008F1439" w:rsidRDefault="00D76D13" w:rsidP="009A31D7">
            <w:pPr>
              <w:rPr>
                <w:rFonts w:ascii="Arial" w:eastAsia="Times New Roman" w:hAnsi="Arial" w:cs="Arial"/>
                <w:bCs/>
                <w:color w:val="000000"/>
              </w:rPr>
            </w:pPr>
            <w:r w:rsidRPr="008F1439">
              <w:rPr>
                <w:rFonts w:ascii="Arial" w:eastAsia="Times New Roman" w:hAnsi="Arial" w:cs="Arial"/>
                <w:bCs/>
                <w:color w:val="000000"/>
              </w:rPr>
              <w:t>Quarter 4</w:t>
            </w:r>
          </w:p>
        </w:tc>
        <w:tc>
          <w:tcPr>
            <w:tcW w:w="4110" w:type="dxa"/>
          </w:tcPr>
          <w:p w:rsidR="00D76D13" w:rsidRDefault="00D76D13" w:rsidP="009A31D7">
            <w:pPr>
              <w:rPr>
                <w:rFonts w:ascii="Arial" w:eastAsia="Times New Roman" w:hAnsi="Arial" w:cs="Arial"/>
                <w:b/>
                <w:bCs/>
                <w:color w:val="000000"/>
              </w:rPr>
            </w:pPr>
          </w:p>
        </w:tc>
      </w:tr>
      <w:tr w:rsidR="00D76D13" w:rsidTr="009A31D7">
        <w:tc>
          <w:tcPr>
            <w:tcW w:w="3227" w:type="dxa"/>
          </w:tcPr>
          <w:p w:rsidR="00D76D13" w:rsidRPr="008C5158" w:rsidRDefault="00D76D13" w:rsidP="009A31D7">
            <w:pPr>
              <w:rPr>
                <w:rFonts w:ascii="Arial" w:eastAsia="Times New Roman" w:hAnsi="Arial" w:cs="Arial"/>
                <w:b/>
                <w:bCs/>
                <w:color w:val="000000"/>
              </w:rPr>
            </w:pPr>
            <w:r w:rsidRPr="008C5158">
              <w:rPr>
                <w:rFonts w:ascii="Arial" w:eastAsia="Times New Roman" w:hAnsi="Arial" w:cs="Arial"/>
                <w:b/>
                <w:bCs/>
                <w:color w:val="000000"/>
              </w:rPr>
              <w:t xml:space="preserve">Environment/equipment </w:t>
            </w:r>
            <w:r w:rsidRPr="008C5158">
              <w:rPr>
                <w:rFonts w:ascii="Arial" w:eastAsia="Times New Roman" w:hAnsi="Arial" w:cs="Arial"/>
                <w:color w:val="000000"/>
              </w:rPr>
              <w:t xml:space="preserve">– security and safety, furniture, medical devices, hardware, ligatures, storage, </w:t>
            </w:r>
            <w:r w:rsidR="00D85148" w:rsidRPr="008C5158">
              <w:rPr>
                <w:rFonts w:ascii="Arial" w:eastAsia="Times New Roman" w:hAnsi="Arial" w:cs="Arial"/>
                <w:color w:val="000000"/>
              </w:rPr>
              <w:t>etc.</w:t>
            </w:r>
          </w:p>
        </w:tc>
        <w:tc>
          <w:tcPr>
            <w:tcW w:w="2410" w:type="dxa"/>
          </w:tcPr>
          <w:p w:rsidR="00D76D13" w:rsidRPr="00A62E29" w:rsidRDefault="00D76D13" w:rsidP="009A31D7">
            <w:pPr>
              <w:rPr>
                <w:rFonts w:ascii="Arial" w:eastAsia="Times New Roman" w:hAnsi="Arial" w:cs="Arial"/>
                <w:bCs/>
                <w:color w:val="000000"/>
              </w:rPr>
            </w:pPr>
            <w:r>
              <w:rPr>
                <w:rFonts w:ascii="Arial" w:eastAsia="Times New Roman" w:hAnsi="Arial" w:cs="Arial"/>
                <w:bCs/>
                <w:color w:val="000000"/>
              </w:rPr>
              <w:t xml:space="preserve">SIs, </w:t>
            </w:r>
            <w:r w:rsidRPr="00A62E29">
              <w:rPr>
                <w:rFonts w:ascii="Arial" w:eastAsia="Times New Roman" w:hAnsi="Arial" w:cs="Arial"/>
                <w:bCs/>
                <w:color w:val="000000"/>
              </w:rPr>
              <w:t>investigations</w:t>
            </w:r>
          </w:p>
        </w:tc>
        <w:tc>
          <w:tcPr>
            <w:tcW w:w="3827" w:type="dxa"/>
          </w:tcPr>
          <w:p w:rsidR="00D76D13" w:rsidRPr="00C22F48" w:rsidRDefault="00D76D13" w:rsidP="009A31D7">
            <w:pPr>
              <w:rPr>
                <w:rFonts w:ascii="Arial" w:eastAsia="Times New Roman" w:hAnsi="Arial" w:cs="Arial"/>
                <w:bCs/>
                <w:color w:val="000000"/>
              </w:rPr>
            </w:pPr>
            <w:r w:rsidRPr="00A62E29">
              <w:rPr>
                <w:rFonts w:ascii="Arial" w:eastAsia="Times New Roman" w:hAnsi="Arial" w:cs="Arial"/>
                <w:bCs/>
                <w:color w:val="000000"/>
              </w:rPr>
              <w:t>Clinical Mortality Review Group</w:t>
            </w:r>
          </w:p>
        </w:tc>
        <w:tc>
          <w:tcPr>
            <w:tcW w:w="1276" w:type="dxa"/>
          </w:tcPr>
          <w:p w:rsidR="00D76D13" w:rsidRDefault="00D76D13" w:rsidP="009A31D7">
            <w:pPr>
              <w:rPr>
                <w:rFonts w:ascii="Arial" w:eastAsia="Times New Roman" w:hAnsi="Arial" w:cs="Arial"/>
                <w:b/>
                <w:bCs/>
                <w:color w:val="000000"/>
              </w:rPr>
            </w:pPr>
            <w:r w:rsidRPr="008F1439">
              <w:rPr>
                <w:rFonts w:ascii="Arial" w:eastAsia="Times New Roman" w:hAnsi="Arial" w:cs="Arial"/>
                <w:bCs/>
                <w:color w:val="000000"/>
              </w:rPr>
              <w:t>Quarter 4</w:t>
            </w:r>
          </w:p>
        </w:tc>
        <w:tc>
          <w:tcPr>
            <w:tcW w:w="4110" w:type="dxa"/>
          </w:tcPr>
          <w:p w:rsidR="00D76D13" w:rsidRDefault="00D76D13" w:rsidP="009A31D7">
            <w:pPr>
              <w:rPr>
                <w:rFonts w:ascii="Arial" w:eastAsia="Times New Roman" w:hAnsi="Arial" w:cs="Arial"/>
                <w:b/>
                <w:bCs/>
                <w:color w:val="000000"/>
              </w:rPr>
            </w:pPr>
          </w:p>
        </w:tc>
      </w:tr>
    </w:tbl>
    <w:p w:rsidR="00D76D13" w:rsidRDefault="00D76D13" w:rsidP="00D76D13">
      <w:pPr>
        <w:spacing w:line="240" w:lineRule="auto"/>
        <w:rPr>
          <w:rFonts w:ascii="Arial" w:hAnsi="Arial" w:cs="Arial"/>
          <w:lang w:bidi="en-US"/>
        </w:rPr>
      </w:pPr>
    </w:p>
    <w:p w:rsidR="00D76D13" w:rsidRDefault="00D76D13" w:rsidP="00D76D13">
      <w:pPr>
        <w:pStyle w:val="Default"/>
        <w:jc w:val="right"/>
        <w:rPr>
          <w:lang w:bidi="en-US"/>
        </w:rPr>
        <w:sectPr w:rsidR="00D76D13" w:rsidSect="007F4398">
          <w:headerReference w:type="even" r:id="rId24"/>
          <w:headerReference w:type="default" r:id="rId25"/>
          <w:footerReference w:type="even" r:id="rId26"/>
          <w:footerReference w:type="default" r:id="rId27"/>
          <w:headerReference w:type="first" r:id="rId28"/>
          <w:footerReference w:type="first" r:id="rId29"/>
          <w:pgSz w:w="16838" w:h="11906" w:orient="landscape"/>
          <w:pgMar w:top="993" w:right="1440" w:bottom="851" w:left="1440" w:header="708" w:footer="708" w:gutter="0"/>
          <w:cols w:space="708"/>
          <w:docGrid w:linePitch="360"/>
        </w:sectPr>
      </w:pPr>
    </w:p>
    <w:p w:rsidR="00D76D13" w:rsidRDefault="00617475" w:rsidP="00D76D13">
      <w:pPr>
        <w:pStyle w:val="Default"/>
        <w:jc w:val="right"/>
        <w:rPr>
          <w:b/>
          <w:sz w:val="22"/>
          <w:szCs w:val="22"/>
        </w:rPr>
      </w:pPr>
      <w:r>
        <w:rPr>
          <w:b/>
          <w:sz w:val="22"/>
          <w:szCs w:val="22"/>
        </w:rPr>
        <w:lastRenderedPageBreak/>
        <w:t>Appendix B</w:t>
      </w:r>
      <w:bookmarkStart w:id="1" w:name="_GoBack"/>
      <w:bookmarkEnd w:id="1"/>
    </w:p>
    <w:p w:rsidR="00D76D13" w:rsidRPr="008C5158" w:rsidRDefault="00D76D13" w:rsidP="00D76D13">
      <w:pPr>
        <w:pStyle w:val="Default"/>
        <w:rPr>
          <w:b/>
          <w:sz w:val="22"/>
          <w:szCs w:val="22"/>
        </w:rPr>
      </w:pPr>
      <w:r w:rsidRPr="008C5158">
        <w:rPr>
          <w:b/>
          <w:sz w:val="22"/>
          <w:szCs w:val="22"/>
        </w:rPr>
        <w:t>Feedback from the Learning Disability Mortality Review programme (LeDeR):</w:t>
      </w:r>
    </w:p>
    <w:p w:rsidR="00D76D13" w:rsidRPr="008C5158" w:rsidRDefault="00D76D13" w:rsidP="00D76D13">
      <w:pPr>
        <w:pStyle w:val="Default"/>
        <w:rPr>
          <w:sz w:val="22"/>
          <w:szCs w:val="22"/>
          <w:highlight w:val="yellow"/>
        </w:rPr>
      </w:pPr>
    </w:p>
    <w:tbl>
      <w:tblPr>
        <w:tblStyle w:val="TableGrid"/>
        <w:tblW w:w="0" w:type="auto"/>
        <w:tblLayout w:type="fixed"/>
        <w:tblLook w:val="04A0" w:firstRow="1" w:lastRow="0" w:firstColumn="1" w:lastColumn="0" w:noHBand="0" w:noVBand="1"/>
      </w:tblPr>
      <w:tblGrid>
        <w:gridCol w:w="1668"/>
        <w:gridCol w:w="8610"/>
      </w:tblGrid>
      <w:tr w:rsidR="00D76D13" w:rsidRPr="002315EE" w:rsidTr="009A31D7">
        <w:tc>
          <w:tcPr>
            <w:tcW w:w="1668" w:type="dxa"/>
            <w:shd w:val="clear" w:color="auto" w:fill="auto"/>
          </w:tcPr>
          <w:p w:rsidR="00D76D13" w:rsidRPr="002315EE" w:rsidRDefault="00D76D13" w:rsidP="009A31D7">
            <w:pPr>
              <w:rPr>
                <w:rFonts w:ascii="Arial" w:hAnsi="Arial" w:cs="Arial"/>
                <w:b/>
              </w:rPr>
            </w:pPr>
            <w:r w:rsidRPr="002315EE">
              <w:rPr>
                <w:rFonts w:ascii="Arial" w:hAnsi="Arial" w:cs="Arial"/>
                <w:b/>
              </w:rPr>
              <w:t>Situation</w:t>
            </w:r>
          </w:p>
        </w:tc>
        <w:tc>
          <w:tcPr>
            <w:tcW w:w="8610" w:type="dxa"/>
            <w:shd w:val="clear" w:color="auto" w:fill="auto"/>
          </w:tcPr>
          <w:p w:rsidR="00D76D13" w:rsidRPr="002315EE" w:rsidRDefault="00D76D13" w:rsidP="00D76D13">
            <w:pPr>
              <w:pStyle w:val="ListParagraph"/>
              <w:numPr>
                <w:ilvl w:val="0"/>
                <w:numId w:val="27"/>
              </w:numPr>
              <w:rPr>
                <w:rFonts w:ascii="Arial" w:hAnsi="Arial" w:cs="Arial"/>
              </w:rPr>
            </w:pPr>
            <w:r w:rsidRPr="002315EE">
              <w:rPr>
                <w:rFonts w:ascii="Arial" w:eastAsia="+mn-ea" w:hAnsi="Arial" w:cs="Arial"/>
                <w:color w:val="000000"/>
              </w:rPr>
              <w:t>The LeDeR Programme was set up to provide a robust independent review of deaths of people  with learning disabilities to support learning and hopefully help people with learning disabilities to live longer</w:t>
            </w:r>
          </w:p>
          <w:p w:rsidR="00D76D13" w:rsidRPr="002315EE" w:rsidRDefault="00D76D13" w:rsidP="00D76D13">
            <w:pPr>
              <w:pStyle w:val="Pa2"/>
              <w:numPr>
                <w:ilvl w:val="0"/>
                <w:numId w:val="27"/>
              </w:numPr>
              <w:spacing w:line="240" w:lineRule="auto"/>
              <w:rPr>
                <w:rFonts w:ascii="Arial" w:hAnsi="Arial" w:cs="Arial"/>
                <w:sz w:val="22"/>
                <w:szCs w:val="22"/>
              </w:rPr>
            </w:pPr>
            <w:r w:rsidRPr="002315EE">
              <w:rPr>
                <w:rFonts w:ascii="Arial" w:eastAsia="+mn-ea" w:hAnsi="Arial" w:cs="Arial"/>
                <w:color w:val="000000"/>
                <w:sz w:val="22"/>
                <w:szCs w:val="22"/>
              </w:rPr>
              <w:t xml:space="preserve">The most significant challenge has been to provide timely reviews </w:t>
            </w:r>
            <w:r w:rsidRPr="002315EE">
              <w:rPr>
                <w:rFonts w:ascii="Arial" w:hAnsi="Arial" w:cs="Arial"/>
                <w:color w:val="000000"/>
                <w:sz w:val="22"/>
                <w:szCs w:val="22"/>
              </w:rPr>
              <w:t xml:space="preserve">largely driven by four key factors: a) large numbers of deaths being notified before full capacity was in place locally to review them b) the low proportion of people trained in LeDeR methodology who have gone on to complete a mortality review c) trained reviewers having sufficient time away from their other duties to be able to complete a mortality review and d) the process not being formally mandated. </w:t>
            </w:r>
          </w:p>
          <w:p w:rsidR="00D76D13" w:rsidRPr="002315EE" w:rsidRDefault="00D76D13" w:rsidP="00D76D13">
            <w:pPr>
              <w:pStyle w:val="Pa2"/>
              <w:numPr>
                <w:ilvl w:val="0"/>
                <w:numId w:val="27"/>
              </w:numPr>
              <w:spacing w:line="240" w:lineRule="auto"/>
              <w:rPr>
                <w:rFonts w:ascii="Arial" w:hAnsi="Arial" w:cs="Arial"/>
                <w:sz w:val="22"/>
                <w:szCs w:val="22"/>
              </w:rPr>
            </w:pPr>
            <w:r w:rsidRPr="002315EE">
              <w:rPr>
                <w:rFonts w:ascii="Arial" w:hAnsi="Arial" w:cs="Arial"/>
                <w:sz w:val="22"/>
                <w:szCs w:val="22"/>
              </w:rPr>
              <w:t>All deaths will have an initial review – if further learning felt useful a multi-agency review will be conducted</w:t>
            </w:r>
          </w:p>
        </w:tc>
      </w:tr>
      <w:tr w:rsidR="00D76D13" w:rsidRPr="002315EE" w:rsidTr="009A31D7">
        <w:tc>
          <w:tcPr>
            <w:tcW w:w="1668" w:type="dxa"/>
            <w:shd w:val="clear" w:color="auto" w:fill="auto"/>
          </w:tcPr>
          <w:p w:rsidR="00D76D13" w:rsidRPr="002315EE" w:rsidRDefault="00D76D13" w:rsidP="009A31D7">
            <w:pPr>
              <w:rPr>
                <w:rFonts w:ascii="Arial" w:hAnsi="Arial" w:cs="Arial"/>
                <w:b/>
              </w:rPr>
            </w:pPr>
            <w:r w:rsidRPr="002315EE">
              <w:rPr>
                <w:rFonts w:ascii="Arial" w:hAnsi="Arial" w:cs="Arial"/>
                <w:b/>
              </w:rPr>
              <w:t>Background</w:t>
            </w:r>
          </w:p>
        </w:tc>
        <w:tc>
          <w:tcPr>
            <w:tcW w:w="8610" w:type="dxa"/>
            <w:shd w:val="clear" w:color="auto" w:fill="auto"/>
          </w:tcPr>
          <w:p w:rsidR="00D76D13" w:rsidRPr="002315EE" w:rsidRDefault="00D76D13" w:rsidP="00D76D13">
            <w:pPr>
              <w:pStyle w:val="ListParagraph"/>
              <w:numPr>
                <w:ilvl w:val="0"/>
                <w:numId w:val="27"/>
              </w:numPr>
              <w:rPr>
                <w:rFonts w:ascii="Arial" w:hAnsi="Arial" w:cs="Arial"/>
              </w:rPr>
            </w:pPr>
            <w:r w:rsidRPr="002315EE">
              <w:rPr>
                <w:rFonts w:ascii="Arial" w:eastAsia="+mn-ea" w:hAnsi="Arial" w:cs="Arial"/>
                <w:color w:val="000000"/>
              </w:rPr>
              <w:t>It  is well documented that People  with Learning Disabilities have poorer health than the general population resulting in earlier death (15-20 years earlier)</w:t>
            </w:r>
          </w:p>
          <w:p w:rsidR="00D76D13" w:rsidRPr="002315EE" w:rsidRDefault="00D76D13" w:rsidP="00D76D13">
            <w:pPr>
              <w:pStyle w:val="Pa2"/>
              <w:numPr>
                <w:ilvl w:val="0"/>
                <w:numId w:val="27"/>
              </w:numPr>
              <w:spacing w:line="240" w:lineRule="auto"/>
              <w:rPr>
                <w:rFonts w:ascii="Arial" w:hAnsi="Arial" w:cs="Arial"/>
                <w:color w:val="000000"/>
                <w:sz w:val="22"/>
                <w:szCs w:val="22"/>
              </w:rPr>
            </w:pPr>
            <w:r w:rsidRPr="002315EE">
              <w:rPr>
                <w:rFonts w:ascii="Arial" w:hAnsi="Arial" w:cs="Arial"/>
                <w:color w:val="000000"/>
                <w:sz w:val="22"/>
                <w:szCs w:val="22"/>
              </w:rPr>
              <w:t>From 1st July 2016 to 31</w:t>
            </w:r>
            <w:r w:rsidRPr="002315EE">
              <w:rPr>
                <w:rFonts w:ascii="Arial" w:hAnsi="Arial" w:cs="Arial"/>
                <w:color w:val="000000"/>
                <w:sz w:val="22"/>
                <w:szCs w:val="22"/>
                <w:vertAlign w:val="superscript"/>
              </w:rPr>
              <w:t>st</w:t>
            </w:r>
            <w:r w:rsidRPr="002315EE">
              <w:rPr>
                <w:rFonts w:ascii="Arial" w:hAnsi="Arial" w:cs="Arial"/>
                <w:color w:val="000000"/>
                <w:sz w:val="22"/>
                <w:szCs w:val="22"/>
              </w:rPr>
              <w:t xml:space="preserve"> December 2018, 4,302 deaths were notified to the LeDeR programme. This was a massive increased in reporting from the last report. These figures are understood to be approximately 86% of the estimated deaths of people with learning disabilities.</w:t>
            </w:r>
          </w:p>
          <w:p w:rsidR="00D76D13" w:rsidRPr="002315EE" w:rsidRDefault="00D76D13" w:rsidP="00D76D13">
            <w:pPr>
              <w:pStyle w:val="Pa2"/>
              <w:numPr>
                <w:ilvl w:val="0"/>
                <w:numId w:val="27"/>
              </w:numPr>
              <w:spacing w:line="240" w:lineRule="auto"/>
              <w:rPr>
                <w:rFonts w:ascii="Arial" w:hAnsi="Arial" w:cs="Arial"/>
                <w:color w:val="000000"/>
                <w:sz w:val="22"/>
                <w:szCs w:val="22"/>
              </w:rPr>
            </w:pPr>
            <w:r w:rsidRPr="002315EE">
              <w:rPr>
                <w:rFonts w:ascii="Arial" w:hAnsi="Arial" w:cs="Arial"/>
                <w:color w:val="000000"/>
                <w:sz w:val="22"/>
                <w:szCs w:val="22"/>
              </w:rPr>
              <w:t xml:space="preserve">Key information about the people with learning disabilities whose deaths were notified to the LeDeR programme includes: </w:t>
            </w:r>
          </w:p>
          <w:p w:rsidR="00D76D13" w:rsidRPr="002315EE" w:rsidRDefault="00D76D13" w:rsidP="00D76D13">
            <w:pPr>
              <w:pStyle w:val="Pa2"/>
              <w:numPr>
                <w:ilvl w:val="0"/>
                <w:numId w:val="28"/>
              </w:numPr>
              <w:spacing w:line="240" w:lineRule="auto"/>
              <w:rPr>
                <w:rFonts w:ascii="Arial" w:hAnsi="Arial" w:cs="Arial"/>
                <w:sz w:val="22"/>
                <w:szCs w:val="22"/>
              </w:rPr>
            </w:pPr>
            <w:r w:rsidRPr="002315EE">
              <w:rPr>
                <w:rFonts w:ascii="Arial" w:hAnsi="Arial" w:cs="Arial"/>
                <w:sz w:val="22"/>
                <w:szCs w:val="22"/>
              </w:rPr>
              <w:t>Children aged 4-17 (42% of deaths reported were from a BAME group)</w:t>
            </w:r>
          </w:p>
          <w:p w:rsidR="00D76D13" w:rsidRPr="002315EE" w:rsidRDefault="00D76D13" w:rsidP="00D76D13">
            <w:pPr>
              <w:pStyle w:val="ListParagraph"/>
              <w:numPr>
                <w:ilvl w:val="0"/>
                <w:numId w:val="28"/>
              </w:numPr>
              <w:rPr>
                <w:rFonts w:ascii="Arial" w:hAnsi="Arial" w:cs="Arial"/>
              </w:rPr>
            </w:pPr>
            <w:r w:rsidRPr="002315EE">
              <w:rPr>
                <w:rFonts w:ascii="Arial" w:hAnsi="Arial" w:cs="Arial"/>
              </w:rPr>
              <w:t>Adults aged 18-24  (26% of deaths reported were from a BAME group)</w:t>
            </w:r>
          </w:p>
          <w:p w:rsidR="00D76D13" w:rsidRPr="002315EE" w:rsidRDefault="00D76D13" w:rsidP="00D76D13">
            <w:pPr>
              <w:pStyle w:val="ListParagraph"/>
              <w:numPr>
                <w:ilvl w:val="0"/>
                <w:numId w:val="28"/>
              </w:numPr>
              <w:rPr>
                <w:rFonts w:ascii="Arial" w:hAnsi="Arial" w:cs="Arial"/>
              </w:rPr>
            </w:pPr>
            <w:r w:rsidRPr="002315EE">
              <w:rPr>
                <w:rFonts w:ascii="Arial" w:hAnsi="Arial" w:cs="Arial"/>
              </w:rPr>
              <w:t>Adults 25+  (7% of deaths reported were from a BAME group)</w:t>
            </w:r>
          </w:p>
          <w:p w:rsidR="00D76D13" w:rsidRPr="002315EE" w:rsidRDefault="00D76D13" w:rsidP="00D76D13">
            <w:pPr>
              <w:pStyle w:val="Pa2"/>
              <w:numPr>
                <w:ilvl w:val="0"/>
                <w:numId w:val="27"/>
              </w:numPr>
              <w:spacing w:line="240" w:lineRule="auto"/>
              <w:rPr>
                <w:rFonts w:ascii="Arial" w:hAnsi="Arial" w:cs="Arial"/>
                <w:sz w:val="22"/>
                <w:szCs w:val="22"/>
              </w:rPr>
            </w:pPr>
            <w:r w:rsidRPr="002315EE">
              <w:rPr>
                <w:rFonts w:ascii="Arial" w:hAnsi="Arial" w:cs="Arial"/>
                <w:sz w:val="22"/>
                <w:szCs w:val="22"/>
              </w:rPr>
              <w:t xml:space="preserve">25% of people from BAME groups had profound and multiple LD – TWICE the proportion of those from White British (11%) </w:t>
            </w:r>
          </w:p>
          <w:p w:rsidR="00D76D13" w:rsidRPr="002315EE" w:rsidRDefault="00D76D13" w:rsidP="00D76D13">
            <w:pPr>
              <w:pStyle w:val="Default"/>
              <w:numPr>
                <w:ilvl w:val="0"/>
                <w:numId w:val="27"/>
              </w:numPr>
              <w:rPr>
                <w:sz w:val="22"/>
                <w:szCs w:val="22"/>
              </w:rPr>
            </w:pPr>
            <w:r w:rsidRPr="002315EE">
              <w:rPr>
                <w:sz w:val="22"/>
                <w:szCs w:val="22"/>
              </w:rPr>
              <w:t xml:space="preserve">93% (590 people from a BAME group) had at least 1 long term condition in addition to the Learning Disability </w:t>
            </w:r>
          </w:p>
          <w:p w:rsidR="00D76D13" w:rsidRPr="002315EE" w:rsidRDefault="00D76D13" w:rsidP="00D76D13">
            <w:pPr>
              <w:pStyle w:val="Default"/>
              <w:numPr>
                <w:ilvl w:val="0"/>
                <w:numId w:val="27"/>
              </w:numPr>
              <w:rPr>
                <w:sz w:val="22"/>
                <w:szCs w:val="22"/>
              </w:rPr>
            </w:pPr>
            <w:r w:rsidRPr="002315EE">
              <w:rPr>
                <w:sz w:val="22"/>
                <w:szCs w:val="22"/>
              </w:rPr>
              <w:t>The most common causes of death across all groups were Pneumonia (25%), Aspiration Pneumonia (16%), Sepsis (7%), Dementia (6&amp;), Ischemic heart disease (6%), Epilepsy (5%).</w:t>
            </w:r>
          </w:p>
          <w:p w:rsidR="00D76D13" w:rsidRPr="002315EE" w:rsidRDefault="00D76D13" w:rsidP="00D76D13">
            <w:pPr>
              <w:pStyle w:val="Default"/>
              <w:numPr>
                <w:ilvl w:val="0"/>
                <w:numId w:val="27"/>
              </w:numPr>
              <w:rPr>
                <w:sz w:val="22"/>
                <w:szCs w:val="22"/>
              </w:rPr>
            </w:pPr>
            <w:r w:rsidRPr="002315EE">
              <w:rPr>
                <w:sz w:val="22"/>
                <w:szCs w:val="22"/>
              </w:rPr>
              <w:t>Where gaps in service were reported those individuals more frequently died from Sepsis</w:t>
            </w:r>
          </w:p>
          <w:p w:rsidR="00D76D13" w:rsidRPr="002315EE" w:rsidRDefault="00D76D13" w:rsidP="00D76D13">
            <w:pPr>
              <w:pStyle w:val="Default"/>
              <w:numPr>
                <w:ilvl w:val="0"/>
                <w:numId w:val="27"/>
              </w:numPr>
              <w:rPr>
                <w:sz w:val="22"/>
                <w:szCs w:val="22"/>
              </w:rPr>
            </w:pPr>
            <w:r w:rsidRPr="002315EE">
              <w:rPr>
                <w:sz w:val="22"/>
                <w:szCs w:val="22"/>
              </w:rPr>
              <w:t>A third of reviews identified good practice in the areas of strong effective multi-agency working, person centred care and end of life care.</w:t>
            </w:r>
          </w:p>
          <w:p w:rsidR="00D76D13" w:rsidRPr="002315EE" w:rsidRDefault="00D76D13" w:rsidP="00D76D13">
            <w:pPr>
              <w:pStyle w:val="Default"/>
              <w:numPr>
                <w:ilvl w:val="0"/>
                <w:numId w:val="27"/>
              </w:numPr>
              <w:rPr>
                <w:sz w:val="22"/>
                <w:szCs w:val="22"/>
              </w:rPr>
            </w:pPr>
            <w:r w:rsidRPr="002315EE">
              <w:rPr>
                <w:sz w:val="22"/>
                <w:szCs w:val="22"/>
              </w:rPr>
              <w:t>The box below demonstrates the difference in age of death for people with Learning Disability as opposed to the general population</w:t>
            </w:r>
          </w:p>
          <w:p w:rsidR="00D76D13" w:rsidRPr="002315EE" w:rsidRDefault="00D76D13" w:rsidP="009A31D7">
            <w:pPr>
              <w:pStyle w:val="Default"/>
              <w:jc w:val="center"/>
              <w:rPr>
                <w:sz w:val="22"/>
                <w:szCs w:val="22"/>
              </w:rPr>
            </w:pPr>
            <w:r w:rsidRPr="002315EE">
              <w:rPr>
                <w:noProof/>
                <w:sz w:val="22"/>
                <w:szCs w:val="22"/>
              </w:rPr>
              <w:drawing>
                <wp:inline distT="0" distB="0" distL="0" distR="0" wp14:anchorId="7C15A0BB" wp14:editId="64C418A6">
                  <wp:extent cx="3614468" cy="160451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21064" t="55814" r="32451" b="6977"/>
                          <a:stretch/>
                        </pic:blipFill>
                        <pic:spPr bwMode="auto">
                          <a:xfrm>
                            <a:off x="0" y="0"/>
                            <a:ext cx="3617660" cy="1605931"/>
                          </a:xfrm>
                          <a:prstGeom prst="rect">
                            <a:avLst/>
                          </a:prstGeom>
                          <a:ln>
                            <a:noFill/>
                          </a:ln>
                          <a:extLst>
                            <a:ext uri="{53640926-AAD7-44D8-BBD7-CCE9431645EC}">
                              <a14:shadowObscured xmlns:a14="http://schemas.microsoft.com/office/drawing/2010/main"/>
                            </a:ext>
                          </a:extLst>
                        </pic:spPr>
                      </pic:pic>
                    </a:graphicData>
                  </a:graphic>
                </wp:inline>
              </w:drawing>
            </w:r>
          </w:p>
          <w:p w:rsidR="00D76D13" w:rsidRPr="002315EE" w:rsidRDefault="00D76D13" w:rsidP="00D76D13">
            <w:pPr>
              <w:pStyle w:val="ListParagraph"/>
              <w:numPr>
                <w:ilvl w:val="0"/>
                <w:numId w:val="27"/>
              </w:numPr>
              <w:rPr>
                <w:rFonts w:ascii="Arial" w:hAnsi="Arial" w:cs="Arial"/>
              </w:rPr>
            </w:pPr>
            <w:r w:rsidRPr="002315EE">
              <w:rPr>
                <w:rFonts w:ascii="Arial" w:eastAsia="+mn-ea" w:hAnsi="Arial" w:cs="Arial"/>
                <w:color w:val="000000"/>
              </w:rPr>
              <w:t xml:space="preserve">Since reporting via notifications commenced on the 1st November 2016 </w:t>
            </w:r>
            <w:r w:rsidRPr="002315EE">
              <w:rPr>
                <w:rFonts w:ascii="Arial" w:eastAsia="+mn-ea" w:hAnsi="Arial" w:cs="Arial"/>
                <w:b/>
                <w:color w:val="000000"/>
              </w:rPr>
              <w:t>SWYPFT have reported 97 Deaths of people with learning disabilities via Datix</w:t>
            </w:r>
            <w:r w:rsidRPr="002315EE">
              <w:rPr>
                <w:rFonts w:ascii="Arial" w:eastAsia="+mn-ea" w:hAnsi="Arial" w:cs="Arial"/>
                <w:color w:val="000000"/>
              </w:rPr>
              <w:t xml:space="preserve"> (End June 2019)</w:t>
            </w:r>
          </w:p>
          <w:p w:rsidR="00D76D13" w:rsidRPr="007F4398" w:rsidRDefault="00D76D13" w:rsidP="00D76D13">
            <w:pPr>
              <w:pStyle w:val="ListParagraph"/>
              <w:numPr>
                <w:ilvl w:val="0"/>
                <w:numId w:val="27"/>
              </w:numPr>
              <w:rPr>
                <w:rFonts w:ascii="Arial" w:hAnsi="Arial" w:cs="Arial"/>
              </w:rPr>
            </w:pPr>
            <w:r w:rsidRPr="002315EE">
              <w:rPr>
                <w:rFonts w:ascii="Arial" w:eastAsia="+mn-ea" w:hAnsi="Arial" w:cs="Arial"/>
                <w:color w:val="000000"/>
              </w:rPr>
              <w:t>In SWYPFT we currently have 3 trained reviewers and a further 2 reviewers being trained in the near future.</w:t>
            </w:r>
            <w:r>
              <w:rPr>
                <w:rFonts w:ascii="Arial" w:eastAsia="+mn-ea" w:hAnsi="Arial" w:cs="Arial"/>
                <w:color w:val="000000"/>
              </w:rPr>
              <w:t xml:space="preserve"> </w:t>
            </w:r>
          </w:p>
          <w:p w:rsidR="00D76D13" w:rsidRPr="002315EE" w:rsidRDefault="00D76D13" w:rsidP="009A31D7">
            <w:pPr>
              <w:pStyle w:val="ListParagraph"/>
              <w:ind w:left="360"/>
              <w:rPr>
                <w:rFonts w:ascii="Arial" w:hAnsi="Arial" w:cs="Arial"/>
              </w:rPr>
            </w:pPr>
          </w:p>
        </w:tc>
      </w:tr>
      <w:tr w:rsidR="00D76D13" w:rsidRPr="002315EE" w:rsidTr="009A31D7">
        <w:tc>
          <w:tcPr>
            <w:tcW w:w="1668" w:type="dxa"/>
            <w:shd w:val="clear" w:color="auto" w:fill="auto"/>
          </w:tcPr>
          <w:p w:rsidR="00D76D13" w:rsidRPr="002315EE" w:rsidRDefault="00D76D13" w:rsidP="009A31D7">
            <w:pPr>
              <w:rPr>
                <w:rFonts w:ascii="Arial" w:hAnsi="Arial" w:cs="Arial"/>
                <w:b/>
              </w:rPr>
            </w:pPr>
            <w:r w:rsidRPr="002315EE">
              <w:rPr>
                <w:rFonts w:ascii="Arial" w:hAnsi="Arial" w:cs="Arial"/>
                <w:b/>
              </w:rPr>
              <w:lastRenderedPageBreak/>
              <w:t xml:space="preserve">Actions for the Trust </w:t>
            </w:r>
          </w:p>
        </w:tc>
        <w:tc>
          <w:tcPr>
            <w:tcW w:w="8610" w:type="dxa"/>
            <w:shd w:val="clear" w:color="auto" w:fill="auto"/>
          </w:tcPr>
          <w:p w:rsidR="00D76D13" w:rsidRPr="002315EE" w:rsidRDefault="00D76D13" w:rsidP="00D76D13">
            <w:pPr>
              <w:pStyle w:val="ListParagraph"/>
              <w:numPr>
                <w:ilvl w:val="0"/>
                <w:numId w:val="27"/>
              </w:numPr>
              <w:rPr>
                <w:rFonts w:ascii="Arial" w:hAnsi="Arial" w:cs="Arial"/>
              </w:rPr>
            </w:pPr>
            <w:r w:rsidRPr="002315EE">
              <w:rPr>
                <w:rFonts w:ascii="Arial" w:hAnsi="Arial" w:cs="Arial"/>
              </w:rPr>
              <w:t>In the forthcoming year the LeDeR programme will focus on actions that are being taken locally and sharing examples of good  practice to affect service improvement (SWYPFT now links this work to the Mortality Group)</w:t>
            </w:r>
          </w:p>
          <w:p w:rsidR="00D76D13" w:rsidRPr="002315EE" w:rsidRDefault="00D76D13" w:rsidP="00D76D13">
            <w:pPr>
              <w:pStyle w:val="ListParagraph"/>
              <w:numPr>
                <w:ilvl w:val="0"/>
                <w:numId w:val="27"/>
              </w:numPr>
              <w:rPr>
                <w:rFonts w:ascii="Arial" w:hAnsi="Arial" w:cs="Arial"/>
              </w:rPr>
            </w:pPr>
            <w:r w:rsidRPr="002315EE">
              <w:rPr>
                <w:rFonts w:ascii="Arial" w:hAnsi="Arial" w:cs="Arial"/>
              </w:rPr>
              <w:t>Health Action plans are formulated with people with learning disabilities where accessible format is required by learning disability service and these are shared accordingly and shared between services</w:t>
            </w:r>
          </w:p>
          <w:p w:rsidR="00D76D13" w:rsidRPr="002315EE" w:rsidRDefault="00D76D13" w:rsidP="00D76D13">
            <w:pPr>
              <w:pStyle w:val="ListParagraph"/>
              <w:numPr>
                <w:ilvl w:val="0"/>
                <w:numId w:val="27"/>
              </w:numPr>
              <w:rPr>
                <w:rFonts w:ascii="Arial" w:hAnsi="Arial" w:cs="Arial"/>
              </w:rPr>
            </w:pPr>
            <w:r w:rsidRPr="002315EE">
              <w:rPr>
                <w:rFonts w:ascii="Arial" w:eastAsia="+mn-ea" w:hAnsi="Arial" w:cs="Arial"/>
                <w:color w:val="000000"/>
              </w:rPr>
              <w:t xml:space="preserve">There should be a named person (Care Co-ordinator) to help professionals work together (SWYPFT have either CPA Coordinator or Lead Professional) </w:t>
            </w:r>
          </w:p>
          <w:p w:rsidR="00D76D13" w:rsidRPr="002315EE" w:rsidRDefault="00D76D13" w:rsidP="00D76D13">
            <w:pPr>
              <w:pStyle w:val="ListParagraph"/>
              <w:numPr>
                <w:ilvl w:val="0"/>
                <w:numId w:val="27"/>
              </w:numPr>
              <w:rPr>
                <w:rFonts w:ascii="Arial" w:hAnsi="Arial" w:cs="Arial"/>
              </w:rPr>
            </w:pPr>
            <w:r w:rsidRPr="002315EE">
              <w:rPr>
                <w:rFonts w:ascii="Arial" w:eastAsia="+mn-ea" w:hAnsi="Arial" w:cs="Arial"/>
                <w:color w:val="000000"/>
              </w:rPr>
              <w:t>Reasonable adjustments should be recorded on individual records</w:t>
            </w:r>
          </w:p>
          <w:p w:rsidR="00D76D13" w:rsidRPr="002315EE" w:rsidRDefault="00D76D13" w:rsidP="00D76D13">
            <w:pPr>
              <w:pStyle w:val="ListParagraph"/>
              <w:numPr>
                <w:ilvl w:val="0"/>
                <w:numId w:val="27"/>
              </w:numPr>
              <w:rPr>
                <w:rFonts w:ascii="Arial" w:hAnsi="Arial" w:cs="Arial"/>
              </w:rPr>
            </w:pPr>
            <w:r w:rsidRPr="002315EE">
              <w:rPr>
                <w:rFonts w:ascii="Arial" w:eastAsia="+mn-ea" w:hAnsi="Arial" w:cs="Arial"/>
                <w:color w:val="000000"/>
              </w:rPr>
              <w:t>Learning Disability Awareness Training should be provided to all those who support people with learning disabilities – SWYPFT have developed a briefing paper to go to the Education &amp; Training Governance Group that addresses this issue.</w:t>
            </w:r>
          </w:p>
          <w:p w:rsidR="00D76D13" w:rsidRPr="002315EE" w:rsidRDefault="00D76D13" w:rsidP="00D76D13">
            <w:pPr>
              <w:pStyle w:val="ListParagraph"/>
              <w:numPr>
                <w:ilvl w:val="0"/>
                <w:numId w:val="27"/>
              </w:numPr>
              <w:rPr>
                <w:rFonts w:ascii="Arial" w:hAnsi="Arial" w:cs="Arial"/>
              </w:rPr>
            </w:pPr>
            <w:r w:rsidRPr="002315EE">
              <w:rPr>
                <w:rFonts w:ascii="Arial" w:eastAsia="+mn-ea" w:hAnsi="Arial" w:cs="Arial"/>
                <w:color w:val="000000"/>
              </w:rPr>
              <w:t xml:space="preserve">People need to understand more about the problems with infections in people with learning disabilities (pneumonia &amp; sepsis in particular and constipation) - </w:t>
            </w:r>
            <w:r w:rsidRPr="002315EE">
              <w:rPr>
                <w:rFonts w:ascii="Arial" w:hAnsi="Arial" w:cs="Arial"/>
              </w:rPr>
              <w:t xml:space="preserve">SWYPFT have commissioned an Advanced Practitioner in Respiratory Care post which can support the reduction in reported deaths due to respiratory issues </w:t>
            </w:r>
          </w:p>
          <w:p w:rsidR="00D76D13" w:rsidRPr="002315EE" w:rsidRDefault="00D76D13" w:rsidP="00D76D13">
            <w:pPr>
              <w:pStyle w:val="ListParagraph"/>
              <w:numPr>
                <w:ilvl w:val="0"/>
                <w:numId w:val="27"/>
              </w:numPr>
              <w:rPr>
                <w:rFonts w:ascii="Arial" w:hAnsi="Arial" w:cs="Arial"/>
              </w:rPr>
            </w:pPr>
            <w:r w:rsidRPr="002315EE">
              <w:rPr>
                <w:rFonts w:ascii="Arial" w:hAnsi="Arial" w:cs="Arial"/>
              </w:rPr>
              <w:t>There should be much more of a focus on the use of the Mental Capacity Act</w:t>
            </w:r>
          </w:p>
          <w:p w:rsidR="00D76D13" w:rsidRPr="002315EE" w:rsidRDefault="00D76D13" w:rsidP="00D76D13">
            <w:pPr>
              <w:pStyle w:val="ListParagraph"/>
              <w:numPr>
                <w:ilvl w:val="0"/>
                <w:numId w:val="27"/>
              </w:numPr>
              <w:rPr>
                <w:rFonts w:ascii="Arial" w:hAnsi="Arial" w:cs="Arial"/>
              </w:rPr>
            </w:pPr>
            <w:r w:rsidRPr="002315EE">
              <w:rPr>
                <w:rFonts w:ascii="Arial" w:hAnsi="Arial" w:cs="Arial"/>
              </w:rPr>
              <w:t>A strategic approach is required to training reviewers – Reviewer training is available via e</w:t>
            </w:r>
            <w:r>
              <w:rPr>
                <w:rFonts w:ascii="Arial" w:hAnsi="Arial" w:cs="Arial"/>
              </w:rPr>
              <w:t>-</w:t>
            </w:r>
            <w:r w:rsidRPr="002315EE">
              <w:rPr>
                <w:rFonts w:ascii="Arial" w:hAnsi="Arial" w:cs="Arial"/>
              </w:rPr>
              <w:t>learning</w:t>
            </w:r>
          </w:p>
        </w:tc>
      </w:tr>
      <w:tr w:rsidR="00D76D13" w:rsidRPr="002315EE" w:rsidTr="009A31D7">
        <w:tc>
          <w:tcPr>
            <w:tcW w:w="1668" w:type="dxa"/>
            <w:shd w:val="clear" w:color="auto" w:fill="auto"/>
          </w:tcPr>
          <w:p w:rsidR="00D76D13" w:rsidRPr="002315EE" w:rsidRDefault="00D76D13" w:rsidP="009A31D7">
            <w:pPr>
              <w:rPr>
                <w:rFonts w:ascii="Arial" w:hAnsi="Arial" w:cs="Arial"/>
                <w:b/>
              </w:rPr>
            </w:pPr>
            <w:r w:rsidRPr="002315EE">
              <w:rPr>
                <w:rFonts w:ascii="Arial" w:hAnsi="Arial" w:cs="Arial"/>
                <w:b/>
              </w:rPr>
              <w:t>Recommendations for the Trust</w:t>
            </w:r>
          </w:p>
        </w:tc>
        <w:tc>
          <w:tcPr>
            <w:tcW w:w="8610" w:type="dxa"/>
            <w:shd w:val="clear" w:color="auto" w:fill="auto"/>
          </w:tcPr>
          <w:p w:rsidR="00D76D13" w:rsidRPr="002315EE" w:rsidRDefault="00D76D13" w:rsidP="00D76D13">
            <w:pPr>
              <w:pStyle w:val="ListParagraph"/>
              <w:numPr>
                <w:ilvl w:val="0"/>
                <w:numId w:val="27"/>
              </w:numPr>
              <w:rPr>
                <w:rFonts w:ascii="Arial" w:hAnsi="Arial" w:cs="Arial"/>
              </w:rPr>
            </w:pPr>
            <w:r w:rsidRPr="002315EE">
              <w:rPr>
                <w:rFonts w:ascii="Arial" w:hAnsi="Arial" w:cs="Arial"/>
              </w:rPr>
              <w:t>SWYPFT need to continue to support the review process and more reviewers will be required</w:t>
            </w:r>
          </w:p>
          <w:p w:rsidR="00D76D13" w:rsidRPr="002315EE" w:rsidRDefault="00D76D13" w:rsidP="00D76D13">
            <w:pPr>
              <w:pStyle w:val="ListParagraph"/>
              <w:numPr>
                <w:ilvl w:val="0"/>
                <w:numId w:val="27"/>
              </w:numPr>
              <w:rPr>
                <w:rFonts w:ascii="Arial" w:hAnsi="Arial" w:cs="Arial"/>
              </w:rPr>
            </w:pPr>
            <w:r w:rsidRPr="002315EE">
              <w:rPr>
                <w:rFonts w:ascii="Arial" w:hAnsi="Arial" w:cs="Arial"/>
              </w:rPr>
              <w:t>SWYPFT will consider how reasonable adjustments are evidenced in records</w:t>
            </w:r>
          </w:p>
          <w:p w:rsidR="00D76D13" w:rsidRPr="002315EE" w:rsidRDefault="00D76D13" w:rsidP="00D76D13">
            <w:pPr>
              <w:pStyle w:val="ListParagraph"/>
              <w:numPr>
                <w:ilvl w:val="0"/>
                <w:numId w:val="27"/>
              </w:numPr>
              <w:rPr>
                <w:rFonts w:ascii="Arial" w:hAnsi="Arial" w:cs="Arial"/>
              </w:rPr>
            </w:pPr>
            <w:r w:rsidRPr="002315EE">
              <w:rPr>
                <w:rFonts w:ascii="Arial" w:hAnsi="Arial" w:cs="Arial"/>
              </w:rPr>
              <w:t>The community learning disability team will continue to support the development of health action plans in an accessible format to support people with learning disabilities to maintain and improve their health through better understanding of conditions</w:t>
            </w:r>
          </w:p>
          <w:p w:rsidR="00D76D13" w:rsidRPr="002315EE" w:rsidRDefault="00D76D13" w:rsidP="00D76D13">
            <w:pPr>
              <w:pStyle w:val="ListParagraph"/>
              <w:numPr>
                <w:ilvl w:val="0"/>
                <w:numId w:val="27"/>
              </w:numPr>
              <w:rPr>
                <w:rFonts w:ascii="Arial" w:hAnsi="Arial" w:cs="Arial"/>
              </w:rPr>
            </w:pPr>
            <w:r w:rsidRPr="002315EE">
              <w:rPr>
                <w:rFonts w:ascii="Arial" w:hAnsi="Arial" w:cs="Arial"/>
              </w:rPr>
              <w:t>The Trust will develop a system for learning from reviews to enable service improvement to occur and a lead for the Trust should be considered – still required</w:t>
            </w:r>
          </w:p>
          <w:p w:rsidR="00D76D13" w:rsidRPr="002315EE" w:rsidRDefault="00D76D13" w:rsidP="00D76D13">
            <w:pPr>
              <w:pStyle w:val="ListParagraph"/>
              <w:numPr>
                <w:ilvl w:val="0"/>
                <w:numId w:val="27"/>
              </w:numPr>
              <w:rPr>
                <w:rFonts w:ascii="Arial" w:hAnsi="Arial" w:cs="Arial"/>
              </w:rPr>
            </w:pPr>
            <w:r w:rsidRPr="002315EE">
              <w:rPr>
                <w:rFonts w:ascii="Arial" w:hAnsi="Arial" w:cs="Arial"/>
              </w:rPr>
              <w:t>The Trust  need to consider Information Sharing agreements with Partners – Systmone will be helpful in terms of sharing information with GP’s</w:t>
            </w:r>
          </w:p>
          <w:p w:rsidR="00D76D13" w:rsidRPr="002315EE" w:rsidRDefault="00D76D13" w:rsidP="00D76D13">
            <w:pPr>
              <w:pStyle w:val="ListParagraph"/>
              <w:numPr>
                <w:ilvl w:val="0"/>
                <w:numId w:val="27"/>
              </w:numPr>
              <w:rPr>
                <w:rFonts w:ascii="Arial" w:hAnsi="Arial" w:cs="Arial"/>
              </w:rPr>
            </w:pPr>
            <w:r w:rsidRPr="002315EE">
              <w:rPr>
                <w:rFonts w:ascii="Arial" w:hAnsi="Arial" w:cs="Arial"/>
              </w:rPr>
              <w:t>Action plan to be developed, monitored and delivered by the Local Area Contact which Reviewers feed into and attend support forums. The CCG in each area is responsible for collating the learning.</w:t>
            </w:r>
          </w:p>
          <w:p w:rsidR="00D76D13" w:rsidRPr="002315EE" w:rsidRDefault="00D76D13" w:rsidP="009A31D7">
            <w:pPr>
              <w:rPr>
                <w:rFonts w:ascii="Arial" w:hAnsi="Arial" w:cs="Arial"/>
              </w:rPr>
            </w:pPr>
          </w:p>
        </w:tc>
      </w:tr>
    </w:tbl>
    <w:p w:rsidR="00D76D13" w:rsidRDefault="00D76D13" w:rsidP="00D76D13">
      <w:pPr>
        <w:rPr>
          <w:rFonts w:ascii="Arial" w:hAnsi="Arial" w:cs="Arial"/>
          <w:lang w:bidi="en-US"/>
        </w:rPr>
      </w:pPr>
    </w:p>
    <w:p w:rsidR="00D76D13" w:rsidRDefault="00D76D13" w:rsidP="00D76D13">
      <w:pPr>
        <w:rPr>
          <w:rFonts w:ascii="Arial" w:hAnsi="Arial" w:cs="Arial"/>
          <w:lang w:bidi="en-US"/>
        </w:rPr>
      </w:pPr>
    </w:p>
    <w:p w:rsidR="00D76D13" w:rsidRDefault="00D76D13" w:rsidP="00D76D13">
      <w:pPr>
        <w:rPr>
          <w:rFonts w:ascii="Arial" w:hAnsi="Arial" w:cs="Arial"/>
          <w:lang w:bidi="en-US"/>
        </w:rPr>
      </w:pPr>
    </w:p>
    <w:p w:rsidR="00D76D13" w:rsidRDefault="00D76D13" w:rsidP="00D76D13">
      <w:pPr>
        <w:rPr>
          <w:rFonts w:ascii="Arial" w:hAnsi="Arial" w:cs="Arial"/>
          <w:lang w:bidi="en-US"/>
        </w:rPr>
      </w:pPr>
    </w:p>
    <w:p w:rsidR="00D76D13" w:rsidRPr="00FF1D74" w:rsidRDefault="00D76D13" w:rsidP="00D76D13">
      <w:pPr>
        <w:rPr>
          <w:rFonts w:ascii="Arial" w:hAnsi="Arial" w:cs="Arial"/>
          <w:lang w:bidi="en-US"/>
        </w:rPr>
      </w:pPr>
    </w:p>
    <w:p w:rsidR="00DC05FB" w:rsidRDefault="00DC05FB"/>
    <w:sectPr w:rsidR="00DC05FB" w:rsidSect="00D76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7475">
      <w:pPr>
        <w:spacing w:after="0" w:line="240" w:lineRule="auto"/>
      </w:pPr>
      <w:r>
        <w:separator/>
      </w:r>
    </w:p>
  </w:endnote>
  <w:endnote w:type="continuationSeparator" w:id="0">
    <w:p w:rsidR="00000000" w:rsidRDefault="0061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264" w:rsidRDefault="00777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264" w:rsidRDefault="00617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264" w:rsidRDefault="00777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475">
      <w:rPr>
        <w:rStyle w:val="PageNumber"/>
        <w:noProof/>
      </w:rPr>
      <w:t>11</w:t>
    </w:r>
    <w:r>
      <w:rPr>
        <w:rStyle w:val="PageNumber"/>
      </w:rPr>
      <w:fldChar w:fldCharType="end"/>
    </w:r>
  </w:p>
  <w:p w:rsidR="004C4264" w:rsidRDefault="00617475">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48" w:rsidRDefault="00777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F48" w:rsidRDefault="006174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48" w:rsidRDefault="00777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475">
      <w:rPr>
        <w:rStyle w:val="PageNumber"/>
        <w:noProof/>
      </w:rPr>
      <w:t>14</w:t>
    </w:r>
    <w:r>
      <w:rPr>
        <w:rStyle w:val="PageNumber"/>
      </w:rPr>
      <w:fldChar w:fldCharType="end"/>
    </w:r>
  </w:p>
  <w:p w:rsidR="00C22F48" w:rsidRDefault="00617475">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48" w:rsidRDefault="00617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7475">
      <w:pPr>
        <w:spacing w:after="0" w:line="240" w:lineRule="auto"/>
      </w:pPr>
      <w:r>
        <w:separator/>
      </w:r>
    </w:p>
  </w:footnote>
  <w:footnote w:type="continuationSeparator" w:id="0">
    <w:p w:rsidR="00000000" w:rsidRDefault="00617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48" w:rsidRDefault="00617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3.3pt;height:265.9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48" w:rsidRDefault="00617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48" w:rsidRDefault="00617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43.3pt;height:265.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6D3"/>
    <w:multiLevelType w:val="hybridMultilevel"/>
    <w:tmpl w:val="0556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063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EF26E6"/>
    <w:multiLevelType w:val="hybridMultilevel"/>
    <w:tmpl w:val="0458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349C4"/>
    <w:multiLevelType w:val="hybridMultilevel"/>
    <w:tmpl w:val="3FDA1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B8746A"/>
    <w:multiLevelType w:val="hybridMultilevel"/>
    <w:tmpl w:val="BCFE1548"/>
    <w:lvl w:ilvl="0" w:tplc="271A589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2A0CAA"/>
    <w:multiLevelType w:val="hybridMultilevel"/>
    <w:tmpl w:val="259AFE14"/>
    <w:lvl w:ilvl="0" w:tplc="A094D2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37AC9"/>
    <w:multiLevelType w:val="hybridMultilevel"/>
    <w:tmpl w:val="CECE4B1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5085F69"/>
    <w:multiLevelType w:val="hybridMultilevel"/>
    <w:tmpl w:val="2E2C9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622A32"/>
    <w:multiLevelType w:val="hybridMultilevel"/>
    <w:tmpl w:val="1456A072"/>
    <w:lvl w:ilvl="0" w:tplc="271A58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A35AA"/>
    <w:multiLevelType w:val="hybridMultilevel"/>
    <w:tmpl w:val="023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80107"/>
    <w:multiLevelType w:val="hybridMultilevel"/>
    <w:tmpl w:val="10F4E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EB08D9"/>
    <w:multiLevelType w:val="hybridMultilevel"/>
    <w:tmpl w:val="4858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3A39F6"/>
    <w:multiLevelType w:val="hybridMultilevel"/>
    <w:tmpl w:val="349234F2"/>
    <w:lvl w:ilvl="0" w:tplc="CB24E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E83727"/>
    <w:multiLevelType w:val="hybridMultilevel"/>
    <w:tmpl w:val="461E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714F53"/>
    <w:multiLevelType w:val="hybridMultilevel"/>
    <w:tmpl w:val="B8E6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37250"/>
    <w:multiLevelType w:val="hybridMultilevel"/>
    <w:tmpl w:val="6A88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567240"/>
    <w:multiLevelType w:val="hybridMultilevel"/>
    <w:tmpl w:val="E73CAB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DA03471"/>
    <w:multiLevelType w:val="multilevel"/>
    <w:tmpl w:val="857A26D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AD4DB6"/>
    <w:multiLevelType w:val="hybridMultilevel"/>
    <w:tmpl w:val="0D909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F24101"/>
    <w:multiLevelType w:val="hybridMultilevel"/>
    <w:tmpl w:val="AC6E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8F31EA"/>
    <w:multiLevelType w:val="hybridMultilevel"/>
    <w:tmpl w:val="4484E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86E1877"/>
    <w:multiLevelType w:val="hybridMultilevel"/>
    <w:tmpl w:val="A7364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1D18DE"/>
    <w:multiLevelType w:val="hybridMultilevel"/>
    <w:tmpl w:val="6CB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D4851"/>
    <w:multiLevelType w:val="hybridMultilevel"/>
    <w:tmpl w:val="0D921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0A10C9"/>
    <w:multiLevelType w:val="hybridMultilevel"/>
    <w:tmpl w:val="465EF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ACB0344"/>
    <w:multiLevelType w:val="multilevel"/>
    <w:tmpl w:val="D632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A422B6"/>
    <w:multiLevelType w:val="hybridMultilevel"/>
    <w:tmpl w:val="48241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9826B7"/>
    <w:multiLevelType w:val="hybridMultilevel"/>
    <w:tmpl w:val="C62C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6641B6"/>
    <w:multiLevelType w:val="hybridMultilevel"/>
    <w:tmpl w:val="31BA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3"/>
  </w:num>
  <w:num w:numId="6">
    <w:abstractNumId w:val="24"/>
  </w:num>
  <w:num w:numId="7">
    <w:abstractNumId w:val="14"/>
  </w:num>
  <w:num w:numId="8">
    <w:abstractNumId w:val="27"/>
  </w:num>
  <w:num w:numId="9">
    <w:abstractNumId w:val="20"/>
  </w:num>
  <w:num w:numId="10">
    <w:abstractNumId w:val="0"/>
  </w:num>
  <w:num w:numId="11">
    <w:abstractNumId w:val="22"/>
  </w:num>
  <w:num w:numId="12">
    <w:abstractNumId w:val="9"/>
  </w:num>
  <w:num w:numId="13">
    <w:abstractNumId w:val="25"/>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8"/>
  </w:num>
  <w:num w:numId="18">
    <w:abstractNumId w:val="29"/>
  </w:num>
  <w:num w:numId="19">
    <w:abstractNumId w:val="7"/>
  </w:num>
  <w:num w:numId="20">
    <w:abstractNumId w:val="15"/>
  </w:num>
  <w:num w:numId="21">
    <w:abstractNumId w:val="3"/>
  </w:num>
  <w:num w:numId="22">
    <w:abstractNumId w:val="13"/>
  </w:num>
  <w:num w:numId="23">
    <w:abstractNumId w:val="8"/>
  </w:num>
  <w:num w:numId="24">
    <w:abstractNumId w:val="4"/>
  </w:num>
  <w:num w:numId="25">
    <w:abstractNumId w:val="11"/>
  </w:num>
  <w:num w:numId="26">
    <w:abstractNumId w:val="18"/>
  </w:num>
  <w:num w:numId="27">
    <w:abstractNumId w:val="10"/>
  </w:num>
  <w:num w:numId="28">
    <w:abstractNumId w:val="16"/>
  </w:num>
  <w:num w:numId="29">
    <w:abstractNumId w:val="26"/>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B7"/>
    <w:rsid w:val="00406799"/>
    <w:rsid w:val="004671EF"/>
    <w:rsid w:val="00617475"/>
    <w:rsid w:val="006D1D0F"/>
    <w:rsid w:val="00777BD8"/>
    <w:rsid w:val="008B79B3"/>
    <w:rsid w:val="009567B7"/>
    <w:rsid w:val="00B36246"/>
    <w:rsid w:val="00CF0D7F"/>
    <w:rsid w:val="00D008B1"/>
    <w:rsid w:val="00D76D13"/>
    <w:rsid w:val="00D85148"/>
    <w:rsid w:val="00DC05FB"/>
    <w:rsid w:val="00E25185"/>
    <w:rsid w:val="00EA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B7"/>
    <w:rPr>
      <w:lang w:eastAsia="en-GB"/>
    </w:rPr>
  </w:style>
  <w:style w:type="paragraph" w:styleId="Heading1">
    <w:name w:val="heading 1"/>
    <w:basedOn w:val="Normal"/>
    <w:next w:val="Normal"/>
    <w:link w:val="Heading1Char"/>
    <w:uiPriority w:val="9"/>
    <w:qFormat/>
    <w:rsid w:val="00956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7B7"/>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567B7"/>
    <w:pPr>
      <w:ind w:left="720"/>
      <w:contextualSpacing/>
    </w:pPr>
  </w:style>
  <w:style w:type="character" w:styleId="Hyperlink">
    <w:name w:val="Hyperlink"/>
    <w:basedOn w:val="DefaultParagraphFont"/>
    <w:uiPriority w:val="99"/>
    <w:unhideWhenUsed/>
    <w:rsid w:val="009567B7"/>
    <w:rPr>
      <w:color w:val="0000FF" w:themeColor="hyperlink"/>
      <w:u w:val="single"/>
    </w:rPr>
  </w:style>
  <w:style w:type="paragraph" w:customStyle="1" w:styleId="Default">
    <w:name w:val="Default"/>
    <w:rsid w:val="009567B7"/>
    <w:pPr>
      <w:autoSpaceDE w:val="0"/>
      <w:autoSpaceDN w:val="0"/>
      <w:adjustRightInd w:val="0"/>
      <w:spacing w:after="0" w:line="240" w:lineRule="auto"/>
    </w:pPr>
    <w:rPr>
      <w:rFonts w:ascii="Arial" w:hAnsi="Arial" w:cs="Arial"/>
      <w:color w:val="000000"/>
      <w:sz w:val="24"/>
      <w:szCs w:val="24"/>
      <w:lang w:eastAsia="en-GB"/>
    </w:rPr>
  </w:style>
  <w:style w:type="character" w:customStyle="1" w:styleId="A3">
    <w:name w:val="A3"/>
    <w:uiPriority w:val="99"/>
    <w:rsid w:val="009567B7"/>
    <w:rPr>
      <w:b/>
      <w:bCs/>
      <w:color w:val="000000"/>
      <w:sz w:val="23"/>
      <w:szCs w:val="23"/>
    </w:rPr>
  </w:style>
  <w:style w:type="character" w:customStyle="1" w:styleId="A13">
    <w:name w:val="A13"/>
    <w:uiPriority w:val="99"/>
    <w:rsid w:val="009567B7"/>
    <w:rPr>
      <w:rFonts w:cs="Helvetica 45 Light"/>
      <w:color w:val="000000"/>
      <w:sz w:val="12"/>
      <w:szCs w:val="12"/>
    </w:rPr>
  </w:style>
  <w:style w:type="paragraph" w:customStyle="1" w:styleId="Pa2">
    <w:name w:val="Pa2"/>
    <w:basedOn w:val="Default"/>
    <w:next w:val="Default"/>
    <w:uiPriority w:val="99"/>
    <w:rsid w:val="009567B7"/>
    <w:pPr>
      <w:spacing w:line="221" w:lineRule="atLeast"/>
    </w:pPr>
    <w:rPr>
      <w:rFonts w:ascii="Helvetica 45 Light" w:hAnsi="Helvetica 45 Light" w:cstheme="minorBidi"/>
      <w:color w:val="auto"/>
    </w:rPr>
  </w:style>
  <w:style w:type="paragraph" w:customStyle="1" w:styleId="Pa10">
    <w:name w:val="Pa10"/>
    <w:basedOn w:val="Default"/>
    <w:next w:val="Default"/>
    <w:uiPriority w:val="99"/>
    <w:rsid w:val="009567B7"/>
    <w:pPr>
      <w:spacing w:line="221" w:lineRule="atLeast"/>
    </w:pPr>
    <w:rPr>
      <w:rFonts w:ascii="Helvetica 45 Light" w:hAnsi="Helvetica 45 Light" w:cstheme="minorBidi"/>
      <w:color w:val="auto"/>
    </w:rPr>
  </w:style>
  <w:style w:type="paragraph" w:styleId="BalloonText">
    <w:name w:val="Balloon Text"/>
    <w:basedOn w:val="Normal"/>
    <w:link w:val="BalloonTextChar"/>
    <w:uiPriority w:val="99"/>
    <w:semiHidden/>
    <w:unhideWhenUsed/>
    <w:rsid w:val="0095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B7"/>
    <w:rPr>
      <w:rFonts w:ascii="Tahoma" w:hAnsi="Tahoma" w:cs="Tahoma"/>
      <w:sz w:val="16"/>
      <w:szCs w:val="16"/>
      <w:lang w:eastAsia="en-GB"/>
    </w:rPr>
  </w:style>
  <w:style w:type="table" w:styleId="TableGrid">
    <w:name w:val="Table Grid"/>
    <w:basedOn w:val="TableNormal"/>
    <w:uiPriority w:val="59"/>
    <w:rsid w:val="0095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13"/>
    <w:rPr>
      <w:lang w:eastAsia="en-GB"/>
    </w:rPr>
  </w:style>
  <w:style w:type="paragraph" w:styleId="Footer">
    <w:name w:val="footer"/>
    <w:basedOn w:val="Normal"/>
    <w:link w:val="FooterChar"/>
    <w:uiPriority w:val="99"/>
    <w:unhideWhenUsed/>
    <w:rsid w:val="00D76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13"/>
    <w:rPr>
      <w:lang w:eastAsia="en-GB"/>
    </w:rPr>
  </w:style>
  <w:style w:type="character" w:styleId="PageNumber">
    <w:name w:val="page number"/>
    <w:basedOn w:val="DefaultParagraphFont"/>
    <w:rsid w:val="00D76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B7"/>
    <w:rPr>
      <w:lang w:eastAsia="en-GB"/>
    </w:rPr>
  </w:style>
  <w:style w:type="paragraph" w:styleId="Heading1">
    <w:name w:val="heading 1"/>
    <w:basedOn w:val="Normal"/>
    <w:next w:val="Normal"/>
    <w:link w:val="Heading1Char"/>
    <w:uiPriority w:val="9"/>
    <w:qFormat/>
    <w:rsid w:val="00956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7B7"/>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567B7"/>
    <w:pPr>
      <w:ind w:left="720"/>
      <w:contextualSpacing/>
    </w:pPr>
  </w:style>
  <w:style w:type="character" w:styleId="Hyperlink">
    <w:name w:val="Hyperlink"/>
    <w:basedOn w:val="DefaultParagraphFont"/>
    <w:uiPriority w:val="99"/>
    <w:unhideWhenUsed/>
    <w:rsid w:val="009567B7"/>
    <w:rPr>
      <w:color w:val="0000FF" w:themeColor="hyperlink"/>
      <w:u w:val="single"/>
    </w:rPr>
  </w:style>
  <w:style w:type="paragraph" w:customStyle="1" w:styleId="Default">
    <w:name w:val="Default"/>
    <w:rsid w:val="009567B7"/>
    <w:pPr>
      <w:autoSpaceDE w:val="0"/>
      <w:autoSpaceDN w:val="0"/>
      <w:adjustRightInd w:val="0"/>
      <w:spacing w:after="0" w:line="240" w:lineRule="auto"/>
    </w:pPr>
    <w:rPr>
      <w:rFonts w:ascii="Arial" w:hAnsi="Arial" w:cs="Arial"/>
      <w:color w:val="000000"/>
      <w:sz w:val="24"/>
      <w:szCs w:val="24"/>
      <w:lang w:eastAsia="en-GB"/>
    </w:rPr>
  </w:style>
  <w:style w:type="character" w:customStyle="1" w:styleId="A3">
    <w:name w:val="A3"/>
    <w:uiPriority w:val="99"/>
    <w:rsid w:val="009567B7"/>
    <w:rPr>
      <w:b/>
      <w:bCs/>
      <w:color w:val="000000"/>
      <w:sz w:val="23"/>
      <w:szCs w:val="23"/>
    </w:rPr>
  </w:style>
  <w:style w:type="character" w:customStyle="1" w:styleId="A13">
    <w:name w:val="A13"/>
    <w:uiPriority w:val="99"/>
    <w:rsid w:val="009567B7"/>
    <w:rPr>
      <w:rFonts w:cs="Helvetica 45 Light"/>
      <w:color w:val="000000"/>
      <w:sz w:val="12"/>
      <w:szCs w:val="12"/>
    </w:rPr>
  </w:style>
  <w:style w:type="paragraph" w:customStyle="1" w:styleId="Pa2">
    <w:name w:val="Pa2"/>
    <w:basedOn w:val="Default"/>
    <w:next w:val="Default"/>
    <w:uiPriority w:val="99"/>
    <w:rsid w:val="009567B7"/>
    <w:pPr>
      <w:spacing w:line="221" w:lineRule="atLeast"/>
    </w:pPr>
    <w:rPr>
      <w:rFonts w:ascii="Helvetica 45 Light" w:hAnsi="Helvetica 45 Light" w:cstheme="minorBidi"/>
      <w:color w:val="auto"/>
    </w:rPr>
  </w:style>
  <w:style w:type="paragraph" w:customStyle="1" w:styleId="Pa10">
    <w:name w:val="Pa10"/>
    <w:basedOn w:val="Default"/>
    <w:next w:val="Default"/>
    <w:uiPriority w:val="99"/>
    <w:rsid w:val="009567B7"/>
    <w:pPr>
      <w:spacing w:line="221" w:lineRule="atLeast"/>
    </w:pPr>
    <w:rPr>
      <w:rFonts w:ascii="Helvetica 45 Light" w:hAnsi="Helvetica 45 Light" w:cstheme="minorBidi"/>
      <w:color w:val="auto"/>
    </w:rPr>
  </w:style>
  <w:style w:type="paragraph" w:styleId="BalloonText">
    <w:name w:val="Balloon Text"/>
    <w:basedOn w:val="Normal"/>
    <w:link w:val="BalloonTextChar"/>
    <w:uiPriority w:val="99"/>
    <w:semiHidden/>
    <w:unhideWhenUsed/>
    <w:rsid w:val="0095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B7"/>
    <w:rPr>
      <w:rFonts w:ascii="Tahoma" w:hAnsi="Tahoma" w:cs="Tahoma"/>
      <w:sz w:val="16"/>
      <w:szCs w:val="16"/>
      <w:lang w:eastAsia="en-GB"/>
    </w:rPr>
  </w:style>
  <w:style w:type="table" w:styleId="TableGrid">
    <w:name w:val="Table Grid"/>
    <w:basedOn w:val="TableNormal"/>
    <w:uiPriority w:val="59"/>
    <w:rsid w:val="0095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13"/>
    <w:rPr>
      <w:lang w:eastAsia="en-GB"/>
    </w:rPr>
  </w:style>
  <w:style w:type="paragraph" w:styleId="Footer">
    <w:name w:val="footer"/>
    <w:basedOn w:val="Normal"/>
    <w:link w:val="FooterChar"/>
    <w:uiPriority w:val="99"/>
    <w:unhideWhenUsed/>
    <w:rsid w:val="00D76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13"/>
    <w:rPr>
      <w:lang w:eastAsia="en-GB"/>
    </w:rPr>
  </w:style>
  <w:style w:type="character" w:styleId="PageNumber">
    <w:name w:val="page number"/>
    <w:basedOn w:val="DefaultParagraphFont"/>
    <w:rsid w:val="00D7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2169">
      <w:bodyDiv w:val="1"/>
      <w:marLeft w:val="0"/>
      <w:marRight w:val="0"/>
      <w:marTop w:val="0"/>
      <w:marBottom w:val="0"/>
      <w:divBdr>
        <w:top w:val="none" w:sz="0" w:space="0" w:color="auto"/>
        <w:left w:val="none" w:sz="0" w:space="0" w:color="auto"/>
        <w:bottom w:val="none" w:sz="0" w:space="0" w:color="auto"/>
        <w:right w:val="none" w:sz="0" w:space="0" w:color="auto"/>
      </w:divBdr>
    </w:div>
    <w:div w:id="393552940">
      <w:bodyDiv w:val="1"/>
      <w:marLeft w:val="0"/>
      <w:marRight w:val="0"/>
      <w:marTop w:val="0"/>
      <w:marBottom w:val="0"/>
      <w:divBdr>
        <w:top w:val="none" w:sz="0" w:space="0" w:color="auto"/>
        <w:left w:val="none" w:sz="0" w:space="0" w:color="auto"/>
        <w:bottom w:val="none" w:sz="0" w:space="0" w:color="auto"/>
        <w:right w:val="none" w:sz="0" w:space="0" w:color="auto"/>
      </w:divBdr>
    </w:div>
    <w:div w:id="475726655">
      <w:bodyDiv w:val="1"/>
      <w:marLeft w:val="0"/>
      <w:marRight w:val="0"/>
      <w:marTop w:val="0"/>
      <w:marBottom w:val="0"/>
      <w:divBdr>
        <w:top w:val="none" w:sz="0" w:space="0" w:color="auto"/>
        <w:left w:val="none" w:sz="0" w:space="0" w:color="auto"/>
        <w:bottom w:val="none" w:sz="0" w:space="0" w:color="auto"/>
        <w:right w:val="none" w:sz="0" w:space="0" w:color="auto"/>
      </w:divBdr>
    </w:div>
    <w:div w:id="746534631">
      <w:bodyDiv w:val="1"/>
      <w:marLeft w:val="0"/>
      <w:marRight w:val="0"/>
      <w:marTop w:val="0"/>
      <w:marBottom w:val="0"/>
      <w:divBdr>
        <w:top w:val="none" w:sz="0" w:space="0" w:color="auto"/>
        <w:left w:val="none" w:sz="0" w:space="0" w:color="auto"/>
        <w:bottom w:val="none" w:sz="0" w:space="0" w:color="auto"/>
        <w:right w:val="none" w:sz="0" w:space="0" w:color="auto"/>
      </w:divBdr>
    </w:div>
    <w:div w:id="1147284714">
      <w:bodyDiv w:val="1"/>
      <w:marLeft w:val="0"/>
      <w:marRight w:val="0"/>
      <w:marTop w:val="0"/>
      <w:marBottom w:val="0"/>
      <w:divBdr>
        <w:top w:val="none" w:sz="0" w:space="0" w:color="auto"/>
        <w:left w:val="none" w:sz="0" w:space="0" w:color="auto"/>
        <w:bottom w:val="none" w:sz="0" w:space="0" w:color="auto"/>
        <w:right w:val="none" w:sz="0" w:space="0" w:color="auto"/>
      </w:divBdr>
    </w:div>
    <w:div w:id="1200976992">
      <w:bodyDiv w:val="1"/>
      <w:marLeft w:val="0"/>
      <w:marRight w:val="0"/>
      <w:marTop w:val="0"/>
      <w:marBottom w:val="0"/>
      <w:divBdr>
        <w:top w:val="none" w:sz="0" w:space="0" w:color="auto"/>
        <w:left w:val="none" w:sz="0" w:space="0" w:color="auto"/>
        <w:bottom w:val="none" w:sz="0" w:space="0" w:color="auto"/>
        <w:right w:val="none" w:sz="0" w:space="0" w:color="auto"/>
      </w:divBdr>
    </w:div>
    <w:div w:id="1206142767">
      <w:bodyDiv w:val="1"/>
      <w:marLeft w:val="0"/>
      <w:marRight w:val="0"/>
      <w:marTop w:val="0"/>
      <w:marBottom w:val="0"/>
      <w:divBdr>
        <w:top w:val="none" w:sz="0" w:space="0" w:color="auto"/>
        <w:left w:val="none" w:sz="0" w:space="0" w:color="auto"/>
        <w:bottom w:val="none" w:sz="0" w:space="0" w:color="auto"/>
        <w:right w:val="none" w:sz="0" w:space="0" w:color="auto"/>
      </w:divBdr>
    </w:div>
    <w:div w:id="1378161343">
      <w:bodyDiv w:val="1"/>
      <w:marLeft w:val="0"/>
      <w:marRight w:val="0"/>
      <w:marTop w:val="0"/>
      <w:marBottom w:val="0"/>
      <w:divBdr>
        <w:top w:val="none" w:sz="0" w:space="0" w:color="auto"/>
        <w:left w:val="none" w:sz="0" w:space="0" w:color="auto"/>
        <w:bottom w:val="none" w:sz="0" w:space="0" w:color="auto"/>
        <w:right w:val="none" w:sz="0" w:space="0" w:color="auto"/>
      </w:divBdr>
    </w:div>
    <w:div w:id="1824078211">
      <w:bodyDiv w:val="1"/>
      <w:marLeft w:val="0"/>
      <w:marRight w:val="0"/>
      <w:marTop w:val="0"/>
      <w:marBottom w:val="0"/>
      <w:divBdr>
        <w:top w:val="none" w:sz="0" w:space="0" w:color="auto"/>
        <w:left w:val="none" w:sz="0" w:space="0" w:color="auto"/>
        <w:bottom w:val="none" w:sz="0" w:space="0" w:color="auto"/>
        <w:right w:val="none" w:sz="0" w:space="0" w:color="auto"/>
      </w:divBdr>
    </w:div>
    <w:div w:id="20071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Learning%20Library%20template%20Ref:%20Bad%20News%20Mitiga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nww.swyt.nhs.uk/learning-from-experiences/Pages/Learning-library.aspx"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Sharing%20of%20information%20to%20prevent%20suicide%20-%20consensus%20statements&#8203;"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Learning%20Library%20Re:%20Discharge%20letters" TargetMode="External"/><Relationship Id="rId27" Type="http://schemas.openxmlformats.org/officeDocument/2006/relationships/footer" Target="footer4.xml"/><Relationship Id="rId30"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swyt-fhh-fs01.xswyt.xswy.nhs.uk\shared\Admin%20-%20Patient%20Safety%20Support%20Team\12%20Mortality%20reviews\2%20Data\2019-20\Q2%2019-20\themes%20data\SJR%20themes%20ratings%20for%20SJRs%20completed%20between%201.4.17-7.11.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wyt-fhh-fs01.xswyt.xswy.nhs.uk\shared\Admin%20-%20Patient%20Safety%20Support%20Team\12%20Mortality%20reviews\2%20Data\2019-20\Q2%2019-20\themes%20data\SJR%20themes%20ratings%20for%20SJRs%20completed%20between%201.4.17-7.11.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wyt-fhh-fs01.xswyt.xswy.nhs.uk\shared\Admin%20-%20Patient%20Safety%20Support%20Team\12%20Mortality%20reviews\2%20Data\2019-20\Q2%2019-20\themes%20data\SJR%20themes%20ratings%20for%20SJRs%20completed%20between%201.4.17-7.11.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wyt-fhh-fs01.xswyt.xswy.nhs.uk\shared\Admin%20-%20Patient%20Safety%20Support%20Team\12%20Mortality%20reviews\2%20Data\2019-20\Q2%2019-20\themes%20data\SJR%20themes%20ratings%20for%20SJRs%20completed%20between%201.4.17-7.11.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wyt-fhh-fs01.xswyt.xswy.nhs.uk\shared\Admin%20-%20Patient%20Safety%20Support%20Team\12%20Mortality%20reviews\2%20Data\2019-20\Q2%2019-20\themes%20data\SJR%20themes%20ratings%20for%20SJRs%20completed%20between%201.4.17-7.11.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wyt-fhh-fs01.xswyt.xswy.nhs.uk\shared\Admin%20-%20Patient%20Safety%20Support%20Team\12%20Mortality%20reviews\2%20Data\2019-20\Q2%2019-20\themes%20data\SJR%20themes%20ratings%20for%20SJRs%20completed%20between%201.4.17-7.11.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wyt-fhh-fs01.xswyt.xswy.nhs.uk\shared\Admin%20-%20Patient%20Safety%20Support%20Team\12%20Mortality%20reviews\2%20Data\2019-20\Q2%2019-20\themes%20data\SJR%20themes%20ratings%20for%20SJRs%20completed%20between%201.4.17-7.11.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Overall Care ratings</a:t>
            </a:r>
            <a:r>
              <a:rPr lang="en-GB" baseline="0"/>
              <a:t> from SJRs completed 1/4/17-7/11/19</a:t>
            </a:r>
            <a:endParaRPr lang="en-GB"/>
          </a:p>
        </c:rich>
      </c:tx>
      <c:layout>
        <c:manualLayout>
          <c:xMode val="edge"/>
          <c:yMode val="edge"/>
          <c:x val="8.064588801399826E-2"/>
          <c:y val="3.7037037037037035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'Overall care'!$B$9:$F$9</c:f>
              <c:strCache>
                <c:ptCount val="5"/>
                <c:pt idx="0">
                  <c:v>Very poor care</c:v>
                </c:pt>
                <c:pt idx="1">
                  <c:v>Poor care</c:v>
                </c:pt>
                <c:pt idx="2">
                  <c:v>Adequate care</c:v>
                </c:pt>
                <c:pt idx="3">
                  <c:v>Good care</c:v>
                </c:pt>
                <c:pt idx="4">
                  <c:v>Excellent care</c:v>
                </c:pt>
              </c:strCache>
            </c:strRef>
          </c:cat>
          <c:val>
            <c:numRef>
              <c:f>'Overall care'!$B$20:$F$20</c:f>
              <c:numCache>
                <c:formatCode>General</c:formatCode>
                <c:ptCount val="5"/>
                <c:pt idx="0">
                  <c:v>0</c:v>
                </c:pt>
                <c:pt idx="1">
                  <c:v>8</c:v>
                </c:pt>
                <c:pt idx="2">
                  <c:v>27</c:v>
                </c:pt>
                <c:pt idx="3">
                  <c:v>36</c:v>
                </c:pt>
                <c:pt idx="4">
                  <c:v>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Quality of the patient record in enabling good quality of care </a:t>
            </a:r>
          </a:p>
        </c:rich>
      </c:tx>
      <c:layout>
        <c:manualLayout>
          <c:xMode val="edge"/>
          <c:yMode val="edge"/>
          <c:x val="0.15652777777777777"/>
          <c:y val="1.3888888888888888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Quality!$B$11:$F$11</c:f>
              <c:strCache>
                <c:ptCount val="5"/>
                <c:pt idx="0">
                  <c:v>Very poor quality</c:v>
                </c:pt>
                <c:pt idx="1">
                  <c:v>Poor quality</c:v>
                </c:pt>
                <c:pt idx="2">
                  <c:v>Adequate quality</c:v>
                </c:pt>
                <c:pt idx="3">
                  <c:v>Good quality</c:v>
                </c:pt>
                <c:pt idx="4">
                  <c:v>Excellent quality</c:v>
                </c:pt>
              </c:strCache>
            </c:strRef>
          </c:cat>
          <c:val>
            <c:numRef>
              <c:f>Quality!$B$22:$F$22</c:f>
              <c:numCache>
                <c:formatCode>General</c:formatCode>
                <c:ptCount val="5"/>
                <c:pt idx="0">
                  <c:v>0</c:v>
                </c:pt>
                <c:pt idx="1">
                  <c:v>8</c:v>
                </c:pt>
                <c:pt idx="2">
                  <c:v>30</c:v>
                </c:pt>
                <c:pt idx="3">
                  <c:v>29</c:v>
                </c:pt>
                <c:pt idx="4">
                  <c:v>10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Risk</a:t>
            </a:r>
            <a:r>
              <a:rPr lang="en-GB" baseline="0"/>
              <a:t> Assesment</a:t>
            </a:r>
            <a:endParaRPr lang="en-GB"/>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'Risk ass'!$B$9:$F$9</c:f>
              <c:strCache>
                <c:ptCount val="5"/>
                <c:pt idx="0">
                  <c:v>Very poor care</c:v>
                </c:pt>
                <c:pt idx="1">
                  <c:v>Poor care</c:v>
                </c:pt>
                <c:pt idx="2">
                  <c:v>Adequate care</c:v>
                </c:pt>
                <c:pt idx="3">
                  <c:v>Good care</c:v>
                </c:pt>
                <c:pt idx="4">
                  <c:v>Excellent care</c:v>
                </c:pt>
              </c:strCache>
            </c:strRef>
          </c:cat>
          <c:val>
            <c:numRef>
              <c:f>'Risk ass'!$B$20:$F$20</c:f>
              <c:numCache>
                <c:formatCode>General</c:formatCode>
                <c:ptCount val="5"/>
                <c:pt idx="0">
                  <c:v>2</c:v>
                </c:pt>
                <c:pt idx="1">
                  <c:v>15</c:v>
                </c:pt>
                <c:pt idx="2">
                  <c:v>27</c:v>
                </c:pt>
                <c:pt idx="3">
                  <c:v>22</c:v>
                </c:pt>
                <c:pt idx="4">
                  <c:v>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Initial review/allocation</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'Initial review'!$B$10:$F$10</c:f>
              <c:strCache>
                <c:ptCount val="5"/>
                <c:pt idx="0">
                  <c:v>Very poor care</c:v>
                </c:pt>
                <c:pt idx="1">
                  <c:v>Poor care</c:v>
                </c:pt>
                <c:pt idx="2">
                  <c:v>Adequate care</c:v>
                </c:pt>
                <c:pt idx="3">
                  <c:v>Good care</c:v>
                </c:pt>
                <c:pt idx="4">
                  <c:v>Excellent care</c:v>
                </c:pt>
              </c:strCache>
            </c:strRef>
          </c:cat>
          <c:val>
            <c:numRef>
              <c:f>'Initial review'!$B$21:$F$21</c:f>
              <c:numCache>
                <c:formatCode>General</c:formatCode>
                <c:ptCount val="5"/>
                <c:pt idx="0">
                  <c:v>1</c:v>
                </c:pt>
                <c:pt idx="1">
                  <c:v>5</c:v>
                </c:pt>
                <c:pt idx="2">
                  <c:v>21</c:v>
                </c:pt>
                <c:pt idx="3">
                  <c:v>27</c:v>
                </c:pt>
                <c:pt idx="4">
                  <c:v>14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Ongoing care</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Ongoing!$B$9:$F$9</c:f>
              <c:strCache>
                <c:ptCount val="5"/>
                <c:pt idx="0">
                  <c:v>Very poor care</c:v>
                </c:pt>
                <c:pt idx="1">
                  <c:v>Poor care</c:v>
                </c:pt>
                <c:pt idx="2">
                  <c:v>Adequate care</c:v>
                </c:pt>
                <c:pt idx="3">
                  <c:v>Good care</c:v>
                </c:pt>
                <c:pt idx="4">
                  <c:v>Excellent care</c:v>
                </c:pt>
              </c:strCache>
            </c:strRef>
          </c:cat>
          <c:val>
            <c:numRef>
              <c:f>Ongoing!$B$20:$F$20</c:f>
              <c:numCache>
                <c:formatCode>General</c:formatCode>
                <c:ptCount val="5"/>
                <c:pt idx="0">
                  <c:v>1</c:v>
                </c:pt>
                <c:pt idx="1">
                  <c:v>7</c:v>
                </c:pt>
                <c:pt idx="2">
                  <c:v>21</c:v>
                </c:pt>
                <c:pt idx="3">
                  <c:v>30</c:v>
                </c:pt>
                <c:pt idx="4">
                  <c:v>12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Care during admissions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Admission!$B$10:$F$10</c:f>
              <c:strCache>
                <c:ptCount val="5"/>
                <c:pt idx="0">
                  <c:v>Very poor care</c:v>
                </c:pt>
                <c:pt idx="1">
                  <c:v>Poor care</c:v>
                </c:pt>
                <c:pt idx="2">
                  <c:v>Adequate care</c:v>
                </c:pt>
                <c:pt idx="3">
                  <c:v>Good care</c:v>
                </c:pt>
                <c:pt idx="4">
                  <c:v>Excellent care</c:v>
                </c:pt>
              </c:strCache>
            </c:strRef>
          </c:cat>
          <c:val>
            <c:numRef>
              <c:f>Admission!$B$21:$F$21</c:f>
              <c:numCache>
                <c:formatCode>General</c:formatCode>
                <c:ptCount val="5"/>
                <c:pt idx="0">
                  <c:v>0</c:v>
                </c:pt>
                <c:pt idx="1">
                  <c:v>1</c:v>
                </c:pt>
                <c:pt idx="2">
                  <c:v>10</c:v>
                </c:pt>
                <c:pt idx="3">
                  <c:v>14</c:v>
                </c:pt>
                <c:pt idx="4">
                  <c:v>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Follow up management/discharge</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'Follow up'!$B$10:$F$10</c:f>
              <c:strCache>
                <c:ptCount val="5"/>
                <c:pt idx="0">
                  <c:v>Very poor care</c:v>
                </c:pt>
                <c:pt idx="1">
                  <c:v>Poor care</c:v>
                </c:pt>
                <c:pt idx="2">
                  <c:v>Adequate care</c:v>
                </c:pt>
                <c:pt idx="3">
                  <c:v>Good care</c:v>
                </c:pt>
                <c:pt idx="4">
                  <c:v>Excellent care</c:v>
                </c:pt>
              </c:strCache>
            </c:strRef>
          </c:cat>
          <c:val>
            <c:numRef>
              <c:f>'Follow up'!$B$21:$F$21</c:f>
              <c:numCache>
                <c:formatCode>General</c:formatCode>
                <c:ptCount val="5"/>
                <c:pt idx="0">
                  <c:v>0</c:v>
                </c:pt>
                <c:pt idx="1">
                  <c:v>9</c:v>
                </c:pt>
                <c:pt idx="2">
                  <c:v>15</c:v>
                </c:pt>
                <c:pt idx="3">
                  <c:v>17</c:v>
                </c:pt>
                <c:pt idx="4">
                  <c:v>9</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16</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Helen(SWYMHT)</dc:creator>
  <cp:lastModifiedBy>Roberts Helen(SWYMHT)</cp:lastModifiedBy>
  <cp:revision>8</cp:revision>
  <dcterms:created xsi:type="dcterms:W3CDTF">2019-10-14T10:03:00Z</dcterms:created>
  <dcterms:modified xsi:type="dcterms:W3CDTF">2020-03-10T11:13:00Z</dcterms:modified>
</cp:coreProperties>
</file>