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7F977" w14:textId="77777777" w:rsidR="009567B7" w:rsidRDefault="009567B7" w:rsidP="009567B7">
      <w:pPr>
        <w:spacing w:line="240" w:lineRule="auto"/>
        <w:jc w:val="right"/>
        <w:rPr>
          <w:rFonts w:ascii="Arial" w:hAnsi="Arial" w:cs="Arial"/>
          <w:b/>
          <w:color w:val="0070C0"/>
          <w:sz w:val="32"/>
          <w:szCs w:val="32"/>
        </w:rPr>
      </w:pPr>
      <w:r w:rsidRPr="007745EB">
        <w:rPr>
          <w:rFonts w:ascii="Arial" w:hAnsi="Arial" w:cs="Arial"/>
          <w:noProof/>
        </w:rPr>
        <w:drawing>
          <wp:inline distT="0" distB="0" distL="0" distR="0" wp14:anchorId="17910D4E" wp14:editId="32B81EFC">
            <wp:extent cx="2067803" cy="923925"/>
            <wp:effectExtent l="0" t="0" r="8890" b="0"/>
            <wp:docPr id="7" name="Picture 7" descr="NHS Organisational Logo Standard Template_A4_CMYK_Right Aligned 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HS Organisational Logo Standard Template_A4_CMYK_Right Aligned tin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1338" cy="925504"/>
                    </a:xfrm>
                    <a:prstGeom prst="rect">
                      <a:avLst/>
                    </a:prstGeom>
                    <a:noFill/>
                    <a:ln>
                      <a:noFill/>
                    </a:ln>
                  </pic:spPr>
                </pic:pic>
              </a:graphicData>
            </a:graphic>
          </wp:inline>
        </w:drawing>
      </w:r>
    </w:p>
    <w:p w14:paraId="447A3DC5" w14:textId="77777777" w:rsidR="009567B7" w:rsidRPr="009567B7" w:rsidRDefault="009567B7" w:rsidP="009567B7">
      <w:pPr>
        <w:pStyle w:val="Heading1"/>
        <w:spacing w:line="240" w:lineRule="auto"/>
        <w:rPr>
          <w:rFonts w:ascii="Arial" w:hAnsi="Arial" w:cs="Arial"/>
          <w:color w:val="0070C0"/>
          <w:sz w:val="32"/>
          <w:szCs w:val="32"/>
        </w:rPr>
      </w:pPr>
      <w:bookmarkStart w:id="0" w:name="_Toc512853674"/>
      <w:r w:rsidRPr="009567B7">
        <w:rPr>
          <w:rFonts w:ascii="Arial" w:hAnsi="Arial" w:cs="Arial"/>
          <w:color w:val="0070C0"/>
          <w:sz w:val="32"/>
          <w:szCs w:val="32"/>
        </w:rPr>
        <w:t>Learning from healthcare deaths Report: The right thing to do</w:t>
      </w:r>
      <w:bookmarkEnd w:id="0"/>
      <w:r w:rsidRPr="009567B7">
        <w:rPr>
          <w:rFonts w:ascii="Arial" w:hAnsi="Arial" w:cs="Arial"/>
          <w:color w:val="0070C0"/>
          <w:sz w:val="32"/>
          <w:szCs w:val="32"/>
        </w:rPr>
        <w:t xml:space="preserve">  </w:t>
      </w:r>
    </w:p>
    <w:p w14:paraId="20A08BDB" w14:textId="77777777" w:rsidR="009567B7" w:rsidRDefault="009567B7" w:rsidP="009567B7">
      <w:pPr>
        <w:spacing w:line="240" w:lineRule="auto"/>
        <w:rPr>
          <w:rFonts w:ascii="Arial" w:hAnsi="Arial" w:cs="Arial"/>
          <w:b/>
          <w:color w:val="0070C0"/>
          <w:sz w:val="32"/>
          <w:szCs w:val="32"/>
        </w:rPr>
      </w:pPr>
      <w:r w:rsidRPr="009567B7">
        <w:rPr>
          <w:rFonts w:ascii="Arial" w:hAnsi="Arial" w:cs="Arial"/>
          <w:b/>
          <w:color w:val="0070C0"/>
          <w:sz w:val="32"/>
          <w:szCs w:val="32"/>
        </w:rPr>
        <w:t>Annual Cumulative Report 2019/20 (covering the period 1/4/2019 – 3</w:t>
      </w:r>
      <w:r w:rsidR="00777BD8">
        <w:rPr>
          <w:rFonts w:ascii="Arial" w:hAnsi="Arial" w:cs="Arial"/>
          <w:b/>
          <w:color w:val="0070C0"/>
          <w:sz w:val="32"/>
          <w:szCs w:val="32"/>
        </w:rPr>
        <w:t>1</w:t>
      </w:r>
      <w:r w:rsidRPr="009567B7">
        <w:rPr>
          <w:rFonts w:ascii="Arial" w:hAnsi="Arial" w:cs="Arial"/>
          <w:b/>
          <w:color w:val="0070C0"/>
          <w:sz w:val="32"/>
          <w:szCs w:val="32"/>
        </w:rPr>
        <w:t>/</w:t>
      </w:r>
      <w:r w:rsidR="00A117A7">
        <w:rPr>
          <w:rFonts w:ascii="Arial" w:hAnsi="Arial" w:cs="Arial"/>
          <w:b/>
          <w:color w:val="0070C0"/>
          <w:sz w:val="32"/>
          <w:szCs w:val="32"/>
        </w:rPr>
        <w:t>03/2020</w:t>
      </w:r>
      <w:r w:rsidRPr="009567B7">
        <w:rPr>
          <w:rFonts w:ascii="Arial" w:hAnsi="Arial" w:cs="Arial"/>
          <w:b/>
          <w:color w:val="0070C0"/>
          <w:sz w:val="32"/>
          <w:szCs w:val="32"/>
        </w:rPr>
        <w:t>)</w:t>
      </w:r>
    </w:p>
    <w:p w14:paraId="4A220981" w14:textId="77777777" w:rsidR="009567B7" w:rsidRDefault="009567B7" w:rsidP="009567B7">
      <w:pPr>
        <w:numPr>
          <w:ilvl w:val="0"/>
          <w:numId w:val="1"/>
        </w:numPr>
        <w:suppressAutoHyphens/>
        <w:spacing w:after="0" w:line="240" w:lineRule="auto"/>
        <w:ind w:left="567" w:hanging="567"/>
        <w:jc w:val="both"/>
        <w:rPr>
          <w:rFonts w:ascii="Arial" w:hAnsi="Arial" w:cs="Arial"/>
          <w:b/>
          <w:color w:val="0070C0"/>
          <w:sz w:val="32"/>
          <w:szCs w:val="32"/>
        </w:rPr>
      </w:pPr>
      <w:r>
        <w:rPr>
          <w:rFonts w:ascii="Arial" w:hAnsi="Arial" w:cs="Arial"/>
          <w:b/>
          <w:color w:val="0070C0"/>
          <w:sz w:val="32"/>
          <w:szCs w:val="32"/>
        </w:rPr>
        <w:t>Background context</w:t>
      </w:r>
    </w:p>
    <w:p w14:paraId="16D37581" w14:textId="77777777" w:rsidR="009567B7" w:rsidRDefault="009567B7" w:rsidP="009567B7">
      <w:pPr>
        <w:suppressAutoHyphens/>
        <w:spacing w:after="0" w:line="240" w:lineRule="auto"/>
        <w:ind w:left="567"/>
        <w:jc w:val="both"/>
        <w:rPr>
          <w:rFonts w:ascii="Arial" w:hAnsi="Arial" w:cs="Arial"/>
          <w:b/>
          <w:color w:val="0070C0"/>
          <w:sz w:val="32"/>
          <w:szCs w:val="32"/>
        </w:rPr>
      </w:pPr>
    </w:p>
    <w:p w14:paraId="494F8EF5" w14:textId="77777777" w:rsidR="00D008B1" w:rsidRPr="00D83151" w:rsidRDefault="00D008B1" w:rsidP="00D008B1">
      <w:pPr>
        <w:pStyle w:val="Default"/>
        <w:rPr>
          <w:sz w:val="28"/>
          <w:szCs w:val="28"/>
        </w:rPr>
      </w:pPr>
      <w:r w:rsidRPr="00D83151">
        <w:rPr>
          <w:b/>
          <w:bCs/>
          <w:sz w:val="28"/>
          <w:szCs w:val="28"/>
        </w:rPr>
        <w:t xml:space="preserve">1.1 Introduction </w:t>
      </w:r>
    </w:p>
    <w:p w14:paraId="0C2C3695" w14:textId="77777777" w:rsidR="00D008B1" w:rsidRPr="00D83151" w:rsidRDefault="00D008B1" w:rsidP="00D008B1">
      <w:pPr>
        <w:pStyle w:val="Default"/>
        <w:rPr>
          <w:sz w:val="22"/>
          <w:szCs w:val="22"/>
        </w:rPr>
      </w:pPr>
      <w:r w:rsidRPr="00D83151">
        <w:rPr>
          <w:sz w:val="22"/>
          <w:szCs w:val="22"/>
        </w:rPr>
        <w:t xml:space="preserve">Scrutiny of healthcare deaths has been high on the government’s agenda for some time. In line with the National Quality Board report published in 2017, the Trust has had Learning from Healthcare Deaths policy in place since September 2017 that sets out how we identify, report, investigate and learn from a patient’s death. The Trust has been reporting and publishing our data on our website since October 2017. </w:t>
      </w:r>
    </w:p>
    <w:p w14:paraId="1736A2FC" w14:textId="77777777" w:rsidR="004671EF" w:rsidRPr="00D83151" w:rsidRDefault="004671EF" w:rsidP="00D008B1">
      <w:pPr>
        <w:pStyle w:val="Default"/>
        <w:rPr>
          <w:sz w:val="22"/>
          <w:szCs w:val="22"/>
        </w:rPr>
      </w:pPr>
    </w:p>
    <w:p w14:paraId="26176182" w14:textId="77777777" w:rsidR="00D008B1" w:rsidRPr="00D83151" w:rsidRDefault="00D008B1" w:rsidP="00D008B1">
      <w:pPr>
        <w:pStyle w:val="Default"/>
        <w:rPr>
          <w:sz w:val="22"/>
          <w:szCs w:val="22"/>
        </w:rPr>
      </w:pPr>
      <w:r w:rsidRPr="00D83151">
        <w:rPr>
          <w:sz w:val="22"/>
          <w:szCs w:val="22"/>
        </w:rPr>
        <w:t xml:space="preserve">Most people will be in receipt of care from the NHS at the time of their death and experience excellent care from the NHS for the weeks, months and years leading up to their death. However, for some people, their experience is different and they receive poor quality care for a number of reasons including system failure. </w:t>
      </w:r>
    </w:p>
    <w:p w14:paraId="6A048866" w14:textId="77777777" w:rsidR="004671EF" w:rsidRPr="00D83151" w:rsidRDefault="004671EF" w:rsidP="00D008B1">
      <w:pPr>
        <w:pStyle w:val="Default"/>
        <w:rPr>
          <w:sz w:val="22"/>
          <w:szCs w:val="22"/>
        </w:rPr>
      </w:pPr>
    </w:p>
    <w:p w14:paraId="4AF19888" w14:textId="77777777" w:rsidR="00D008B1" w:rsidRPr="00D83151" w:rsidRDefault="00D008B1" w:rsidP="00D008B1">
      <w:pPr>
        <w:pStyle w:val="Default"/>
        <w:rPr>
          <w:sz w:val="22"/>
          <w:szCs w:val="22"/>
        </w:rPr>
      </w:pPr>
      <w:r w:rsidRPr="00D83151">
        <w:rPr>
          <w:sz w:val="22"/>
          <w:szCs w:val="22"/>
        </w:rPr>
        <w:t xml:space="preserve">The Five Year Forward View for Mental Health identified that people with severe and prolonged mental illness are at risk of dying on average 15 to 20 years earlier than other people. Therefore, it is important that organisations widen the scope of deaths which are reviewed in order to maximise learning. </w:t>
      </w:r>
    </w:p>
    <w:p w14:paraId="31756D54" w14:textId="77777777" w:rsidR="004671EF" w:rsidRPr="00D83151" w:rsidRDefault="004671EF" w:rsidP="00D008B1">
      <w:pPr>
        <w:pStyle w:val="Default"/>
        <w:rPr>
          <w:sz w:val="22"/>
          <w:szCs w:val="22"/>
        </w:rPr>
      </w:pPr>
    </w:p>
    <w:p w14:paraId="00EFF3C8" w14:textId="77777777" w:rsidR="00D008B1" w:rsidRPr="00D83151" w:rsidRDefault="00D008B1" w:rsidP="00D008B1">
      <w:pPr>
        <w:pStyle w:val="Default"/>
        <w:rPr>
          <w:sz w:val="22"/>
          <w:szCs w:val="22"/>
        </w:rPr>
      </w:pPr>
      <w:r w:rsidRPr="00D83151">
        <w:rPr>
          <w:sz w:val="22"/>
          <w:szCs w:val="22"/>
        </w:rPr>
        <w:t xml:space="preserve">The Confidential Inquiry into premature deaths of people with learning disabilities showed a very similar picture in terms of early deaths. </w:t>
      </w:r>
    </w:p>
    <w:p w14:paraId="1067DEFB" w14:textId="77777777" w:rsidR="004671EF" w:rsidRPr="00D83151" w:rsidRDefault="004671EF" w:rsidP="00D008B1">
      <w:pPr>
        <w:pStyle w:val="Default"/>
        <w:rPr>
          <w:sz w:val="22"/>
          <w:szCs w:val="22"/>
        </w:rPr>
      </w:pPr>
    </w:p>
    <w:p w14:paraId="7BE1F3CF" w14:textId="77777777" w:rsidR="00D008B1" w:rsidRPr="00D83151" w:rsidRDefault="00D008B1" w:rsidP="00D008B1">
      <w:pPr>
        <w:pStyle w:val="Default"/>
        <w:rPr>
          <w:sz w:val="22"/>
          <w:szCs w:val="22"/>
        </w:rPr>
      </w:pPr>
      <w:r w:rsidRPr="00D83151">
        <w:rPr>
          <w:sz w:val="22"/>
          <w:szCs w:val="22"/>
        </w:rPr>
        <w:t xml:space="preserve">The Trust has worked collaboratively with other providers in the North of England to develop our approach. The Trust will review/investigate reportable deaths in line with the policy. We aim to work with families/carers of patients who have died as they offer an invaluable source of insight to learn </w:t>
      </w:r>
      <w:r w:rsidR="00D83151" w:rsidRPr="00D83151">
        <w:rPr>
          <w:sz w:val="22"/>
          <w:szCs w:val="22"/>
        </w:rPr>
        <w:t xml:space="preserve">lessons and improve services. </w:t>
      </w:r>
    </w:p>
    <w:p w14:paraId="2653537C" w14:textId="77777777" w:rsidR="00D008B1" w:rsidRPr="00D83151" w:rsidRDefault="00D008B1" w:rsidP="00D008B1">
      <w:pPr>
        <w:pStyle w:val="Default"/>
        <w:rPr>
          <w:color w:val="auto"/>
        </w:rPr>
      </w:pPr>
    </w:p>
    <w:p w14:paraId="65B680E7" w14:textId="77777777" w:rsidR="00D008B1" w:rsidRPr="00D83151" w:rsidRDefault="00D008B1" w:rsidP="00D008B1">
      <w:pPr>
        <w:pStyle w:val="Default"/>
        <w:pageBreakBefore/>
        <w:rPr>
          <w:color w:val="auto"/>
          <w:sz w:val="28"/>
          <w:szCs w:val="28"/>
        </w:rPr>
      </w:pPr>
      <w:r w:rsidRPr="00D83151">
        <w:rPr>
          <w:b/>
          <w:bCs/>
          <w:color w:val="auto"/>
          <w:sz w:val="28"/>
          <w:szCs w:val="28"/>
        </w:rPr>
        <w:lastRenderedPageBreak/>
        <w:t xml:space="preserve">1.2 Scope </w:t>
      </w:r>
    </w:p>
    <w:p w14:paraId="257C1B5A" w14:textId="77777777" w:rsidR="00D008B1" w:rsidRPr="00D83151" w:rsidRDefault="00D008B1" w:rsidP="00D008B1">
      <w:pPr>
        <w:pStyle w:val="Default"/>
        <w:rPr>
          <w:color w:val="auto"/>
          <w:sz w:val="22"/>
          <w:szCs w:val="22"/>
        </w:rPr>
      </w:pPr>
      <w:r w:rsidRPr="00D83151">
        <w:rPr>
          <w:color w:val="auto"/>
          <w:sz w:val="22"/>
          <w:szCs w:val="22"/>
        </w:rPr>
        <w:t xml:space="preserve">The Trust has systems that identify and capture the known deaths of its service users on its electronic patient administration system (PAS) and on its Datix system where the death requires reporting. </w:t>
      </w:r>
    </w:p>
    <w:p w14:paraId="253201B8" w14:textId="77777777" w:rsidR="004671EF" w:rsidRPr="00D83151" w:rsidRDefault="004671EF" w:rsidP="00D008B1">
      <w:pPr>
        <w:pStyle w:val="Default"/>
        <w:rPr>
          <w:color w:val="auto"/>
          <w:sz w:val="22"/>
          <w:szCs w:val="22"/>
        </w:rPr>
      </w:pPr>
    </w:p>
    <w:p w14:paraId="0A78C843" w14:textId="77777777" w:rsidR="004671EF" w:rsidRPr="00D83151" w:rsidRDefault="00D008B1" w:rsidP="00D008B1">
      <w:pPr>
        <w:pStyle w:val="Default"/>
        <w:rPr>
          <w:color w:val="auto"/>
          <w:sz w:val="22"/>
          <w:szCs w:val="22"/>
        </w:rPr>
      </w:pPr>
      <w:r w:rsidRPr="00D83151">
        <w:rPr>
          <w:color w:val="auto"/>
          <w:sz w:val="22"/>
          <w:szCs w:val="22"/>
        </w:rPr>
        <w:t>The Trust’s Performance and Information team is also working with local registration of deaths services to ensure data on deaths is accurate and timely</w:t>
      </w:r>
      <w:r w:rsidR="004671EF" w:rsidRPr="00D83151">
        <w:rPr>
          <w:color w:val="auto"/>
          <w:sz w:val="22"/>
          <w:szCs w:val="22"/>
        </w:rPr>
        <w:t xml:space="preserve">. </w:t>
      </w:r>
    </w:p>
    <w:p w14:paraId="56A772B4" w14:textId="77777777" w:rsidR="00D008B1" w:rsidRPr="00D83151" w:rsidRDefault="00D008B1" w:rsidP="00D008B1">
      <w:pPr>
        <w:pStyle w:val="Default"/>
        <w:rPr>
          <w:color w:val="auto"/>
          <w:sz w:val="22"/>
          <w:szCs w:val="22"/>
        </w:rPr>
      </w:pPr>
      <w:r w:rsidRPr="00D83151">
        <w:rPr>
          <w:color w:val="auto"/>
          <w:sz w:val="22"/>
          <w:szCs w:val="22"/>
        </w:rPr>
        <w:t xml:space="preserve"> </w:t>
      </w:r>
    </w:p>
    <w:p w14:paraId="70E83E5A" w14:textId="77777777" w:rsidR="00D008B1" w:rsidRPr="00D83151" w:rsidRDefault="00D008B1" w:rsidP="00D008B1">
      <w:pPr>
        <w:pStyle w:val="Default"/>
        <w:rPr>
          <w:color w:val="auto"/>
          <w:sz w:val="22"/>
          <w:szCs w:val="22"/>
        </w:rPr>
      </w:pPr>
      <w:r w:rsidRPr="00D83151">
        <w:rPr>
          <w:color w:val="auto"/>
          <w:sz w:val="22"/>
          <w:szCs w:val="22"/>
        </w:rPr>
        <w:t xml:space="preserve">From 1 October 2017, the Trust introduced our Learning from healthcare deaths – the right thing to do policy which introduced a revised scope for reporting deaths. Staff must report deaths where there are concerns from family, clinical staff or through governance processes and where the Trust is the main provider of care, reporting these deaths on Datix within 24 hours of being informed. </w:t>
      </w:r>
      <w:r w:rsidR="004671EF" w:rsidRPr="00D83151">
        <w:rPr>
          <w:color w:val="auto"/>
          <w:sz w:val="22"/>
          <w:szCs w:val="22"/>
        </w:rPr>
        <w:t>The policy was reviewed and updated in January 20</w:t>
      </w:r>
      <w:r w:rsidR="00777BD8" w:rsidRPr="00D83151">
        <w:rPr>
          <w:color w:val="auto"/>
          <w:sz w:val="22"/>
          <w:szCs w:val="22"/>
        </w:rPr>
        <w:t>20</w:t>
      </w:r>
      <w:r w:rsidR="004671EF" w:rsidRPr="00D83151">
        <w:rPr>
          <w:color w:val="auto"/>
          <w:sz w:val="22"/>
          <w:szCs w:val="22"/>
        </w:rPr>
        <w:t>.</w:t>
      </w:r>
    </w:p>
    <w:p w14:paraId="18ACF02B" w14:textId="77777777" w:rsidR="004671EF" w:rsidRPr="00D83151" w:rsidRDefault="004671EF" w:rsidP="00D008B1">
      <w:pPr>
        <w:pStyle w:val="Default"/>
        <w:rPr>
          <w:color w:val="auto"/>
          <w:sz w:val="22"/>
          <w:szCs w:val="22"/>
        </w:rPr>
      </w:pPr>
    </w:p>
    <w:p w14:paraId="3D8663A2" w14:textId="77777777" w:rsidR="004671EF" w:rsidRPr="00D83151" w:rsidRDefault="00D008B1" w:rsidP="004671EF">
      <w:pPr>
        <w:pStyle w:val="Default"/>
        <w:rPr>
          <w:color w:val="auto"/>
          <w:sz w:val="22"/>
          <w:szCs w:val="22"/>
        </w:rPr>
      </w:pPr>
      <w:r w:rsidRPr="00D83151">
        <w:rPr>
          <w:color w:val="auto"/>
          <w:sz w:val="22"/>
          <w:szCs w:val="22"/>
        </w:rPr>
        <w:t>Each reported death</w:t>
      </w:r>
      <w:r w:rsidR="004671EF" w:rsidRPr="00D83151">
        <w:rPr>
          <w:color w:val="auto"/>
          <w:sz w:val="22"/>
          <w:szCs w:val="22"/>
        </w:rPr>
        <w:t xml:space="preserve"> that meets the scope criteria</w:t>
      </w:r>
      <w:r w:rsidRPr="00D83151">
        <w:rPr>
          <w:color w:val="auto"/>
          <w:sz w:val="22"/>
          <w:szCs w:val="22"/>
        </w:rPr>
        <w:t xml:space="preserve"> is reviewed in line with the three levels of scrutiny the Trust has adopted in line with the National Quality Board guidance: </w:t>
      </w:r>
    </w:p>
    <w:p w14:paraId="67A918AA" w14:textId="77777777" w:rsidR="004671EF" w:rsidRPr="00D83151" w:rsidRDefault="004671EF" w:rsidP="004671EF">
      <w:pPr>
        <w:pStyle w:val="Default"/>
        <w:rPr>
          <w:color w:val="auto"/>
          <w:sz w:val="22"/>
          <w:szCs w:val="22"/>
        </w:rPr>
      </w:pPr>
    </w:p>
    <w:tbl>
      <w:tblPr>
        <w:tblStyle w:val="TableGrid"/>
        <w:tblW w:w="0" w:type="auto"/>
        <w:tblLook w:val="04A0" w:firstRow="1" w:lastRow="0" w:firstColumn="1" w:lastColumn="0" w:noHBand="0" w:noVBand="1"/>
      </w:tblPr>
      <w:tblGrid>
        <w:gridCol w:w="392"/>
        <w:gridCol w:w="2551"/>
        <w:gridCol w:w="6299"/>
      </w:tblGrid>
      <w:tr w:rsidR="004671EF" w:rsidRPr="00D83151" w14:paraId="4BB8346D" w14:textId="77777777" w:rsidTr="00A117A7">
        <w:tc>
          <w:tcPr>
            <w:tcW w:w="9242" w:type="dxa"/>
            <w:gridSpan w:val="3"/>
          </w:tcPr>
          <w:p w14:paraId="5D24114A" w14:textId="77777777" w:rsidR="004671EF" w:rsidRPr="00D83151" w:rsidRDefault="004671EF" w:rsidP="004671EF">
            <w:pPr>
              <w:pStyle w:val="Default"/>
              <w:jc w:val="both"/>
            </w:pPr>
            <w:r w:rsidRPr="00D83151">
              <w:rPr>
                <w:b/>
                <w:color w:val="auto"/>
                <w:sz w:val="22"/>
                <w:szCs w:val="22"/>
              </w:rPr>
              <w:t xml:space="preserve">In scope deaths should be reviewed using one of the 3 levels of scrutiny: </w:t>
            </w:r>
          </w:p>
        </w:tc>
      </w:tr>
      <w:tr w:rsidR="004671EF" w:rsidRPr="00D83151" w14:paraId="0A6A85EE" w14:textId="77777777" w:rsidTr="00A117A7">
        <w:tc>
          <w:tcPr>
            <w:tcW w:w="392" w:type="dxa"/>
          </w:tcPr>
          <w:p w14:paraId="74C00CB1" w14:textId="77777777" w:rsidR="004671EF" w:rsidRPr="00D83151" w:rsidRDefault="004671EF" w:rsidP="00A117A7">
            <w:pPr>
              <w:jc w:val="both"/>
              <w:rPr>
                <w:rFonts w:ascii="Arial" w:hAnsi="Arial" w:cs="Arial"/>
              </w:rPr>
            </w:pPr>
            <w:r w:rsidRPr="00D83151">
              <w:rPr>
                <w:rFonts w:ascii="Arial" w:hAnsi="Arial" w:cs="Arial"/>
              </w:rPr>
              <w:t>1</w:t>
            </w:r>
          </w:p>
        </w:tc>
        <w:tc>
          <w:tcPr>
            <w:tcW w:w="2551" w:type="dxa"/>
          </w:tcPr>
          <w:p w14:paraId="06B3CD01" w14:textId="77777777" w:rsidR="004671EF" w:rsidRPr="00D83151" w:rsidRDefault="004671EF" w:rsidP="00A117A7">
            <w:pPr>
              <w:jc w:val="both"/>
              <w:rPr>
                <w:rFonts w:ascii="Arial" w:hAnsi="Arial" w:cs="Arial"/>
              </w:rPr>
            </w:pPr>
            <w:r w:rsidRPr="00D83151">
              <w:rPr>
                <w:rFonts w:ascii="Arial" w:hAnsi="Arial" w:cs="Arial"/>
              </w:rPr>
              <w:t>Death Certification</w:t>
            </w:r>
          </w:p>
          <w:p w14:paraId="3ACC45A7" w14:textId="77777777" w:rsidR="004671EF" w:rsidRPr="00D83151" w:rsidRDefault="004671EF" w:rsidP="00A117A7">
            <w:pPr>
              <w:jc w:val="both"/>
              <w:rPr>
                <w:rFonts w:ascii="Arial" w:hAnsi="Arial" w:cs="Arial"/>
              </w:rPr>
            </w:pPr>
          </w:p>
        </w:tc>
        <w:tc>
          <w:tcPr>
            <w:tcW w:w="6299" w:type="dxa"/>
          </w:tcPr>
          <w:p w14:paraId="4998EA8A" w14:textId="77777777" w:rsidR="004671EF" w:rsidRPr="00D83151" w:rsidRDefault="004671EF" w:rsidP="004671EF">
            <w:pPr>
              <w:pStyle w:val="Default"/>
              <w:jc w:val="both"/>
            </w:pPr>
            <w:r w:rsidRPr="00D83151">
              <w:t xml:space="preserve">Details of the cause of death as certified by the attending doctor. </w:t>
            </w:r>
          </w:p>
        </w:tc>
      </w:tr>
      <w:tr w:rsidR="004671EF" w:rsidRPr="00D83151" w14:paraId="64542917" w14:textId="77777777" w:rsidTr="00A117A7">
        <w:tc>
          <w:tcPr>
            <w:tcW w:w="392" w:type="dxa"/>
          </w:tcPr>
          <w:p w14:paraId="33A0AE1D" w14:textId="77777777" w:rsidR="004671EF" w:rsidRPr="00D83151" w:rsidRDefault="004671EF" w:rsidP="00A117A7">
            <w:pPr>
              <w:jc w:val="both"/>
              <w:rPr>
                <w:rFonts w:ascii="Arial" w:hAnsi="Arial" w:cs="Arial"/>
              </w:rPr>
            </w:pPr>
            <w:r w:rsidRPr="00D83151">
              <w:rPr>
                <w:rFonts w:ascii="Arial" w:hAnsi="Arial" w:cs="Arial"/>
              </w:rPr>
              <w:t>2</w:t>
            </w:r>
          </w:p>
        </w:tc>
        <w:tc>
          <w:tcPr>
            <w:tcW w:w="2551" w:type="dxa"/>
          </w:tcPr>
          <w:p w14:paraId="36446048" w14:textId="77777777" w:rsidR="004671EF" w:rsidRPr="00D83151" w:rsidRDefault="004671EF" w:rsidP="00A117A7">
            <w:pPr>
              <w:jc w:val="both"/>
              <w:rPr>
                <w:rFonts w:ascii="Arial" w:hAnsi="Arial" w:cs="Arial"/>
              </w:rPr>
            </w:pPr>
            <w:r w:rsidRPr="00D83151">
              <w:rPr>
                <w:rFonts w:ascii="Arial" w:hAnsi="Arial" w:cs="Arial"/>
              </w:rPr>
              <w:t>Case record review</w:t>
            </w:r>
          </w:p>
        </w:tc>
        <w:tc>
          <w:tcPr>
            <w:tcW w:w="6299" w:type="dxa"/>
          </w:tcPr>
          <w:p w14:paraId="782E8A83" w14:textId="77777777" w:rsidR="004671EF" w:rsidRPr="00D83151" w:rsidRDefault="004671EF" w:rsidP="00A117A7">
            <w:pPr>
              <w:jc w:val="both"/>
              <w:rPr>
                <w:rFonts w:ascii="Arial" w:hAnsi="Arial" w:cs="Arial"/>
              </w:rPr>
            </w:pPr>
            <w:r w:rsidRPr="00D83151">
              <w:rPr>
                <w:rFonts w:ascii="Arial" w:hAnsi="Arial" w:cs="Arial"/>
              </w:rPr>
              <w:t>Includes:</w:t>
            </w:r>
          </w:p>
          <w:p w14:paraId="2C84B40F" w14:textId="77777777" w:rsidR="004671EF" w:rsidRPr="00D83151" w:rsidRDefault="004671EF" w:rsidP="00A117A7">
            <w:pPr>
              <w:jc w:val="both"/>
              <w:rPr>
                <w:rFonts w:ascii="Arial" w:hAnsi="Arial" w:cs="Arial"/>
              </w:rPr>
            </w:pPr>
            <w:r w:rsidRPr="00D83151">
              <w:rPr>
                <w:rFonts w:ascii="Arial" w:hAnsi="Arial" w:cs="Arial"/>
              </w:rPr>
              <w:t xml:space="preserve">(1) Managers 48 hour review </w:t>
            </w:r>
          </w:p>
          <w:p w14:paraId="79FC6FA6" w14:textId="77777777" w:rsidR="004671EF" w:rsidRPr="00D83151" w:rsidRDefault="004671EF" w:rsidP="00A117A7">
            <w:pPr>
              <w:jc w:val="both"/>
              <w:rPr>
                <w:rFonts w:ascii="Arial" w:hAnsi="Arial" w:cs="Arial"/>
              </w:rPr>
            </w:pPr>
            <w:r w:rsidRPr="00D83151">
              <w:rPr>
                <w:rFonts w:ascii="Arial" w:hAnsi="Arial" w:cs="Arial"/>
              </w:rPr>
              <w:t xml:space="preserve">(2) Structured Judgement Review </w:t>
            </w:r>
          </w:p>
        </w:tc>
      </w:tr>
      <w:tr w:rsidR="004671EF" w:rsidRPr="00D83151" w14:paraId="623AA0C2" w14:textId="77777777" w:rsidTr="00A117A7">
        <w:tc>
          <w:tcPr>
            <w:tcW w:w="392" w:type="dxa"/>
          </w:tcPr>
          <w:p w14:paraId="0BB945E1" w14:textId="77777777" w:rsidR="004671EF" w:rsidRPr="00D83151" w:rsidRDefault="004671EF" w:rsidP="00A117A7">
            <w:pPr>
              <w:jc w:val="both"/>
              <w:rPr>
                <w:rFonts w:ascii="Arial" w:hAnsi="Arial" w:cs="Arial"/>
              </w:rPr>
            </w:pPr>
            <w:r w:rsidRPr="00D83151">
              <w:rPr>
                <w:rFonts w:ascii="Arial" w:hAnsi="Arial" w:cs="Arial"/>
              </w:rPr>
              <w:t>3</w:t>
            </w:r>
          </w:p>
        </w:tc>
        <w:tc>
          <w:tcPr>
            <w:tcW w:w="2551" w:type="dxa"/>
          </w:tcPr>
          <w:p w14:paraId="5DBA7924" w14:textId="77777777" w:rsidR="004671EF" w:rsidRPr="00D83151" w:rsidRDefault="004671EF" w:rsidP="00A117A7">
            <w:pPr>
              <w:jc w:val="both"/>
              <w:rPr>
                <w:rFonts w:ascii="Arial" w:hAnsi="Arial" w:cs="Arial"/>
              </w:rPr>
            </w:pPr>
            <w:r w:rsidRPr="00D83151">
              <w:rPr>
                <w:rFonts w:ascii="Arial" w:hAnsi="Arial" w:cs="Arial"/>
              </w:rPr>
              <w:t>Investigation</w:t>
            </w:r>
          </w:p>
        </w:tc>
        <w:tc>
          <w:tcPr>
            <w:tcW w:w="6299" w:type="dxa"/>
          </w:tcPr>
          <w:p w14:paraId="55C640F4" w14:textId="77777777" w:rsidR="004671EF" w:rsidRPr="00D83151" w:rsidRDefault="004671EF" w:rsidP="00A117A7">
            <w:pPr>
              <w:jc w:val="both"/>
              <w:rPr>
                <w:rFonts w:ascii="Arial" w:hAnsi="Arial" w:cs="Arial"/>
              </w:rPr>
            </w:pPr>
            <w:r w:rsidRPr="00D83151">
              <w:rPr>
                <w:rFonts w:ascii="Arial" w:hAnsi="Arial" w:cs="Arial"/>
              </w:rPr>
              <w:t>Includes:</w:t>
            </w:r>
          </w:p>
          <w:p w14:paraId="31B6B98B" w14:textId="77777777" w:rsidR="004671EF" w:rsidRPr="00D83151" w:rsidRDefault="004671EF" w:rsidP="00A117A7">
            <w:pPr>
              <w:jc w:val="both"/>
              <w:rPr>
                <w:rFonts w:ascii="Arial" w:hAnsi="Arial" w:cs="Arial"/>
              </w:rPr>
            </w:pPr>
            <w:r w:rsidRPr="00D83151">
              <w:rPr>
                <w:rFonts w:ascii="Arial" w:hAnsi="Arial" w:cs="Arial"/>
              </w:rPr>
              <w:t>Service Level Investigation</w:t>
            </w:r>
          </w:p>
          <w:p w14:paraId="49F8C85C" w14:textId="77777777" w:rsidR="004671EF" w:rsidRPr="00D83151" w:rsidRDefault="004671EF" w:rsidP="00A117A7">
            <w:pPr>
              <w:jc w:val="both"/>
              <w:rPr>
                <w:rFonts w:ascii="Arial" w:hAnsi="Arial" w:cs="Arial"/>
              </w:rPr>
            </w:pPr>
            <w:r w:rsidRPr="00D83151">
              <w:rPr>
                <w:rFonts w:ascii="Arial" w:hAnsi="Arial" w:cs="Arial"/>
              </w:rPr>
              <w:t>Serious Incident Investigation (reported on STEIS)</w:t>
            </w:r>
          </w:p>
          <w:p w14:paraId="682B5A78" w14:textId="77777777" w:rsidR="004671EF" w:rsidRPr="00D83151" w:rsidRDefault="004671EF" w:rsidP="00A117A7">
            <w:pPr>
              <w:jc w:val="both"/>
              <w:rPr>
                <w:rFonts w:ascii="Arial" w:hAnsi="Arial" w:cs="Arial"/>
              </w:rPr>
            </w:pPr>
            <w:r w:rsidRPr="00D83151">
              <w:rPr>
                <w:rFonts w:ascii="Arial" w:hAnsi="Arial" w:cs="Arial"/>
              </w:rPr>
              <w:t>Other reviews e.g. LeDeR, safeguarding.</w:t>
            </w:r>
          </w:p>
        </w:tc>
      </w:tr>
    </w:tbl>
    <w:p w14:paraId="7E361348" w14:textId="77777777" w:rsidR="004671EF" w:rsidRPr="00D83151" w:rsidRDefault="004671EF" w:rsidP="004671EF">
      <w:pPr>
        <w:pStyle w:val="Default"/>
        <w:rPr>
          <w:color w:val="auto"/>
          <w:sz w:val="22"/>
          <w:szCs w:val="22"/>
        </w:rPr>
      </w:pPr>
    </w:p>
    <w:p w14:paraId="7B8EA511" w14:textId="77777777" w:rsidR="00D008B1" w:rsidRPr="00D83151" w:rsidRDefault="004671EF" w:rsidP="004671EF">
      <w:pPr>
        <w:pStyle w:val="Default"/>
        <w:rPr>
          <w:b/>
          <w:bCs/>
          <w:color w:val="auto"/>
          <w:sz w:val="28"/>
          <w:szCs w:val="28"/>
        </w:rPr>
      </w:pPr>
      <w:r w:rsidRPr="00D83151">
        <w:rPr>
          <w:b/>
          <w:bCs/>
          <w:color w:val="auto"/>
          <w:sz w:val="28"/>
          <w:szCs w:val="28"/>
        </w:rPr>
        <w:t>1</w:t>
      </w:r>
      <w:r w:rsidR="00D008B1" w:rsidRPr="00D83151">
        <w:rPr>
          <w:b/>
          <w:bCs/>
          <w:color w:val="auto"/>
          <w:sz w:val="28"/>
          <w:szCs w:val="28"/>
        </w:rPr>
        <w:t xml:space="preserve">.3 Next Steps </w:t>
      </w:r>
    </w:p>
    <w:p w14:paraId="2A5F7D61" w14:textId="77777777" w:rsidR="00CF0D7F" w:rsidRPr="00D83151" w:rsidRDefault="00CF0D7F" w:rsidP="004671EF">
      <w:pPr>
        <w:pStyle w:val="Default"/>
        <w:rPr>
          <w:b/>
          <w:bCs/>
          <w:color w:val="auto"/>
          <w:sz w:val="28"/>
          <w:szCs w:val="28"/>
        </w:rPr>
      </w:pPr>
    </w:p>
    <w:p w14:paraId="2C59C3FD" w14:textId="77777777" w:rsidR="004671EF" w:rsidRPr="00D83151" w:rsidRDefault="004671EF" w:rsidP="004671EF">
      <w:pPr>
        <w:pStyle w:val="Default"/>
        <w:rPr>
          <w:bCs/>
          <w:color w:val="auto"/>
        </w:rPr>
      </w:pPr>
      <w:r w:rsidRPr="00D83151">
        <w:rPr>
          <w:bCs/>
          <w:color w:val="auto"/>
        </w:rPr>
        <w:t>Our work to support learning from deaths continues, and includes</w:t>
      </w:r>
      <w:r w:rsidR="00CF0D7F" w:rsidRPr="00D83151">
        <w:rPr>
          <w:bCs/>
          <w:color w:val="auto"/>
        </w:rPr>
        <w:t>:</w:t>
      </w:r>
    </w:p>
    <w:p w14:paraId="0AC07AE9" w14:textId="77777777" w:rsidR="00CF0D7F" w:rsidRPr="00D83151" w:rsidRDefault="00CF0D7F" w:rsidP="00CF0D7F">
      <w:pPr>
        <w:pStyle w:val="Default"/>
        <w:rPr>
          <w:color w:val="auto"/>
          <w:sz w:val="22"/>
          <w:szCs w:val="22"/>
        </w:rPr>
      </w:pPr>
    </w:p>
    <w:p w14:paraId="1537E063" w14:textId="77777777" w:rsidR="00CF0D7F" w:rsidRPr="00D83151" w:rsidRDefault="00CF0D7F" w:rsidP="00CF0D7F">
      <w:pPr>
        <w:pStyle w:val="Default"/>
        <w:numPr>
          <w:ilvl w:val="0"/>
          <w:numId w:val="26"/>
        </w:numPr>
        <w:rPr>
          <w:sz w:val="22"/>
          <w:szCs w:val="22"/>
        </w:rPr>
      </w:pPr>
      <w:r w:rsidRPr="00D83151">
        <w:rPr>
          <w:sz w:val="22"/>
          <w:szCs w:val="22"/>
        </w:rPr>
        <w:t xml:space="preserve">Development of processes to support bereaved families and carers. </w:t>
      </w:r>
    </w:p>
    <w:p w14:paraId="1BA80218" w14:textId="77777777" w:rsidR="00D008B1" w:rsidRPr="00D83151" w:rsidRDefault="00CF0D7F" w:rsidP="00CF0D7F">
      <w:pPr>
        <w:pStyle w:val="Default"/>
        <w:numPr>
          <w:ilvl w:val="0"/>
          <w:numId w:val="26"/>
        </w:numPr>
        <w:rPr>
          <w:sz w:val="22"/>
          <w:szCs w:val="22"/>
        </w:rPr>
      </w:pPr>
      <w:r w:rsidRPr="00D83151">
        <w:rPr>
          <w:sz w:val="22"/>
          <w:szCs w:val="22"/>
        </w:rPr>
        <w:t xml:space="preserve">Ongoing development of the </w:t>
      </w:r>
      <w:r w:rsidR="004671EF" w:rsidRPr="00D83151">
        <w:rPr>
          <w:sz w:val="22"/>
          <w:szCs w:val="22"/>
        </w:rPr>
        <w:t xml:space="preserve">Clinical Mortality Review Group </w:t>
      </w:r>
    </w:p>
    <w:p w14:paraId="17651B2D" w14:textId="77777777" w:rsidR="004671EF" w:rsidRPr="00D83151" w:rsidRDefault="004671EF" w:rsidP="00CF0D7F">
      <w:pPr>
        <w:pStyle w:val="Default"/>
        <w:numPr>
          <w:ilvl w:val="0"/>
          <w:numId w:val="26"/>
        </w:numPr>
        <w:rPr>
          <w:sz w:val="22"/>
          <w:szCs w:val="22"/>
        </w:rPr>
      </w:pPr>
      <w:r w:rsidRPr="00D83151">
        <w:rPr>
          <w:sz w:val="22"/>
          <w:szCs w:val="22"/>
        </w:rPr>
        <w:t xml:space="preserve">Thematic review </w:t>
      </w:r>
      <w:r w:rsidR="00CF0D7F" w:rsidRPr="00D83151">
        <w:rPr>
          <w:sz w:val="22"/>
          <w:szCs w:val="22"/>
        </w:rPr>
        <w:t xml:space="preserve">and analysis </w:t>
      </w:r>
      <w:r w:rsidRPr="00D83151">
        <w:rPr>
          <w:sz w:val="22"/>
          <w:szCs w:val="22"/>
        </w:rPr>
        <w:t>of learning from deaths</w:t>
      </w:r>
      <w:r w:rsidR="00CF0D7F" w:rsidRPr="00D83151">
        <w:rPr>
          <w:sz w:val="22"/>
          <w:szCs w:val="22"/>
        </w:rPr>
        <w:t xml:space="preserve"> findings</w:t>
      </w:r>
    </w:p>
    <w:p w14:paraId="1CD059A1" w14:textId="77777777" w:rsidR="00D008B1" w:rsidRPr="00D83151" w:rsidRDefault="00D008B1" w:rsidP="00CF0D7F">
      <w:pPr>
        <w:pStyle w:val="Default"/>
        <w:numPr>
          <w:ilvl w:val="0"/>
          <w:numId w:val="26"/>
        </w:numPr>
        <w:rPr>
          <w:sz w:val="22"/>
          <w:szCs w:val="22"/>
        </w:rPr>
      </w:pPr>
      <w:r w:rsidRPr="00D83151">
        <w:rPr>
          <w:sz w:val="22"/>
          <w:szCs w:val="22"/>
        </w:rPr>
        <w:t>Further develop</w:t>
      </w:r>
      <w:r w:rsidR="00CF0D7F" w:rsidRPr="00D83151">
        <w:rPr>
          <w:sz w:val="22"/>
          <w:szCs w:val="22"/>
        </w:rPr>
        <w:t>ment of</w:t>
      </w:r>
      <w:r w:rsidRPr="00D83151">
        <w:rPr>
          <w:sz w:val="22"/>
          <w:szCs w:val="22"/>
        </w:rPr>
        <w:t xml:space="preserve"> </w:t>
      </w:r>
      <w:r w:rsidR="004671EF" w:rsidRPr="00D83151">
        <w:rPr>
          <w:sz w:val="22"/>
          <w:szCs w:val="22"/>
        </w:rPr>
        <w:t xml:space="preserve">internal </w:t>
      </w:r>
      <w:r w:rsidRPr="00D83151">
        <w:rPr>
          <w:sz w:val="22"/>
          <w:szCs w:val="22"/>
        </w:rPr>
        <w:t xml:space="preserve">processes and consistency in data collection </w:t>
      </w:r>
    </w:p>
    <w:p w14:paraId="000B2586" w14:textId="77777777" w:rsidR="00D008B1" w:rsidRPr="00D83151" w:rsidRDefault="00CF0D7F" w:rsidP="00CF0D7F">
      <w:pPr>
        <w:pStyle w:val="Default"/>
        <w:numPr>
          <w:ilvl w:val="0"/>
          <w:numId w:val="26"/>
        </w:numPr>
        <w:rPr>
          <w:sz w:val="22"/>
          <w:szCs w:val="22"/>
        </w:rPr>
      </w:pPr>
      <w:r w:rsidRPr="00D83151">
        <w:rPr>
          <w:sz w:val="22"/>
          <w:szCs w:val="22"/>
        </w:rPr>
        <w:t xml:space="preserve">Continued training for </w:t>
      </w:r>
      <w:r w:rsidR="00D008B1" w:rsidRPr="00D83151">
        <w:rPr>
          <w:sz w:val="22"/>
          <w:szCs w:val="22"/>
        </w:rPr>
        <w:t xml:space="preserve">Structured Judgement Reviewers. </w:t>
      </w:r>
    </w:p>
    <w:p w14:paraId="46AB235A" w14:textId="77777777" w:rsidR="00CF0D7F" w:rsidRDefault="00CF0D7F" w:rsidP="00CF0D7F">
      <w:pPr>
        <w:pStyle w:val="Default"/>
        <w:rPr>
          <w:color w:val="auto"/>
          <w:sz w:val="22"/>
          <w:szCs w:val="22"/>
        </w:rPr>
      </w:pPr>
    </w:p>
    <w:p w14:paraId="2E780AD7" w14:textId="77777777" w:rsidR="00CF0D7F" w:rsidRPr="00CF0D7F" w:rsidRDefault="00CF0D7F" w:rsidP="00CF0D7F">
      <w:pPr>
        <w:pStyle w:val="Default"/>
        <w:rPr>
          <w:highlight w:val="yellow"/>
        </w:rPr>
        <w:sectPr w:rsidR="00CF0D7F" w:rsidRPr="00CF0D7F">
          <w:pgSz w:w="11906" w:h="16838"/>
          <w:pgMar w:top="1440" w:right="1440" w:bottom="1440" w:left="1440" w:header="708" w:footer="708" w:gutter="0"/>
          <w:cols w:space="708"/>
          <w:docGrid w:linePitch="360"/>
        </w:sectPr>
      </w:pPr>
    </w:p>
    <w:p w14:paraId="4E44A4BC" w14:textId="464BFF94" w:rsidR="009567B7" w:rsidRDefault="009567B7" w:rsidP="00521B6A">
      <w:pPr>
        <w:numPr>
          <w:ilvl w:val="0"/>
          <w:numId w:val="1"/>
        </w:numPr>
        <w:suppressAutoHyphens/>
        <w:spacing w:after="0" w:line="240" w:lineRule="auto"/>
        <w:ind w:left="567" w:hanging="567"/>
        <w:rPr>
          <w:rFonts w:ascii="Arial" w:hAnsi="Arial" w:cs="Arial"/>
          <w:b/>
          <w:color w:val="0070C0"/>
          <w:sz w:val="32"/>
          <w:szCs w:val="32"/>
        </w:rPr>
      </w:pPr>
      <w:r>
        <w:rPr>
          <w:rFonts w:ascii="Arial" w:hAnsi="Arial" w:cs="Arial"/>
          <w:b/>
          <w:color w:val="0070C0"/>
          <w:sz w:val="32"/>
          <w:szCs w:val="32"/>
        </w:rPr>
        <w:lastRenderedPageBreak/>
        <w:t>Annual Cumulative Dashboard Report 201</w:t>
      </w:r>
      <w:r w:rsidR="00EA310E">
        <w:rPr>
          <w:rFonts w:ascii="Arial" w:hAnsi="Arial" w:cs="Arial"/>
          <w:b/>
          <w:color w:val="0070C0"/>
          <w:sz w:val="32"/>
          <w:szCs w:val="32"/>
        </w:rPr>
        <w:t>9</w:t>
      </w:r>
      <w:r>
        <w:rPr>
          <w:rFonts w:ascii="Arial" w:hAnsi="Arial" w:cs="Arial"/>
          <w:b/>
          <w:color w:val="0070C0"/>
          <w:sz w:val="32"/>
          <w:szCs w:val="32"/>
        </w:rPr>
        <w:t>/20</w:t>
      </w:r>
      <w:r w:rsidR="00EA310E">
        <w:rPr>
          <w:rFonts w:ascii="Arial" w:hAnsi="Arial" w:cs="Arial"/>
          <w:b/>
          <w:color w:val="0070C0"/>
          <w:sz w:val="32"/>
          <w:szCs w:val="32"/>
        </w:rPr>
        <w:t xml:space="preserve">20 </w:t>
      </w:r>
      <w:r>
        <w:rPr>
          <w:rFonts w:ascii="Arial" w:hAnsi="Arial" w:cs="Arial"/>
          <w:b/>
          <w:color w:val="0070C0"/>
          <w:sz w:val="32"/>
          <w:szCs w:val="32"/>
        </w:rPr>
        <w:t>c</w:t>
      </w:r>
      <w:r w:rsidR="00EA310E">
        <w:rPr>
          <w:rFonts w:ascii="Arial" w:hAnsi="Arial" w:cs="Arial"/>
          <w:b/>
          <w:color w:val="0070C0"/>
          <w:sz w:val="32"/>
          <w:szCs w:val="32"/>
        </w:rPr>
        <w:t>overing the period 1/4/2019 – 31</w:t>
      </w:r>
      <w:r>
        <w:rPr>
          <w:rFonts w:ascii="Arial" w:hAnsi="Arial" w:cs="Arial"/>
          <w:b/>
          <w:color w:val="0070C0"/>
          <w:sz w:val="32"/>
          <w:szCs w:val="32"/>
        </w:rPr>
        <w:t>/</w:t>
      </w:r>
      <w:r w:rsidR="00573B13">
        <w:rPr>
          <w:rFonts w:ascii="Arial" w:hAnsi="Arial" w:cs="Arial"/>
          <w:b/>
          <w:color w:val="0070C0"/>
          <w:sz w:val="32"/>
          <w:szCs w:val="32"/>
        </w:rPr>
        <w:t>3</w:t>
      </w:r>
      <w:r w:rsidR="00A117A7">
        <w:rPr>
          <w:rFonts w:ascii="Arial" w:hAnsi="Arial" w:cs="Arial"/>
          <w:b/>
          <w:color w:val="0070C0"/>
          <w:sz w:val="32"/>
          <w:szCs w:val="32"/>
        </w:rPr>
        <w:t>/2020</w:t>
      </w:r>
      <w:r>
        <w:rPr>
          <w:rFonts w:ascii="Arial" w:hAnsi="Arial" w:cs="Arial"/>
          <w:b/>
          <w:color w:val="0070C0"/>
          <w:sz w:val="32"/>
          <w:szCs w:val="32"/>
        </w:rPr>
        <w:t xml:space="preserve">  </w:t>
      </w:r>
    </w:p>
    <w:p w14:paraId="3A7096D7" w14:textId="77777777" w:rsidR="009567B7" w:rsidRDefault="009567B7" w:rsidP="009567B7">
      <w:pPr>
        <w:spacing w:line="240" w:lineRule="auto"/>
        <w:rPr>
          <w:rFonts w:ascii="Arial" w:hAnsi="Arial" w:cs="Arial"/>
        </w:rPr>
      </w:pPr>
    </w:p>
    <w:p w14:paraId="0C578815" w14:textId="77777777" w:rsidR="009567B7" w:rsidRPr="00CF0D7F" w:rsidRDefault="009567B7" w:rsidP="009567B7">
      <w:pPr>
        <w:spacing w:line="240" w:lineRule="auto"/>
        <w:rPr>
          <w:rFonts w:ascii="Arial" w:hAnsi="Arial" w:cs="Arial"/>
          <w:b/>
          <w:color w:val="0070C0"/>
        </w:rPr>
      </w:pPr>
      <w:r w:rsidRPr="00CF0D7F">
        <w:rPr>
          <w:rFonts w:ascii="Arial" w:hAnsi="Arial" w:cs="Arial"/>
          <w:b/>
        </w:rPr>
        <w:t>Table 1</w:t>
      </w:r>
      <w:r w:rsidRPr="00CF0D7F">
        <w:rPr>
          <w:rFonts w:ascii="Arial" w:hAnsi="Arial" w:cs="Arial"/>
          <w:b/>
          <w:noProof/>
        </w:rPr>
        <w:t xml:space="preserve"> Summary of 2019/20 Annual Death reporting by financial quarter to 3</w:t>
      </w:r>
      <w:r w:rsidR="00EA310E">
        <w:rPr>
          <w:rFonts w:ascii="Arial" w:hAnsi="Arial" w:cs="Arial"/>
          <w:b/>
          <w:noProof/>
        </w:rPr>
        <w:t>1</w:t>
      </w:r>
      <w:r w:rsidRPr="00CF0D7F">
        <w:rPr>
          <w:rFonts w:ascii="Arial" w:hAnsi="Arial" w:cs="Arial"/>
          <w:b/>
          <w:noProof/>
        </w:rPr>
        <w:t>/</w:t>
      </w:r>
      <w:r w:rsidR="00A117A7">
        <w:rPr>
          <w:rFonts w:ascii="Arial" w:hAnsi="Arial" w:cs="Arial"/>
          <w:b/>
          <w:noProof/>
        </w:rPr>
        <w:t>03/2020*</w:t>
      </w:r>
    </w:p>
    <w:tbl>
      <w:tblPr>
        <w:tblW w:w="14424" w:type="dxa"/>
        <w:tblInd w:w="93" w:type="dxa"/>
        <w:tblLook w:val="04A0" w:firstRow="1" w:lastRow="0" w:firstColumn="1" w:lastColumn="0" w:noHBand="0" w:noVBand="1"/>
      </w:tblPr>
      <w:tblGrid>
        <w:gridCol w:w="7670"/>
        <w:gridCol w:w="1276"/>
        <w:gridCol w:w="1012"/>
        <w:gridCol w:w="1114"/>
        <w:gridCol w:w="1134"/>
        <w:gridCol w:w="1134"/>
        <w:gridCol w:w="1084"/>
      </w:tblGrid>
      <w:tr w:rsidR="00DC05FB" w:rsidRPr="008B79B3" w14:paraId="6D983AD8" w14:textId="77777777" w:rsidTr="00DC05FB">
        <w:trPr>
          <w:trHeight w:val="855"/>
        </w:trPr>
        <w:tc>
          <w:tcPr>
            <w:tcW w:w="7670" w:type="dxa"/>
            <w:tcBorders>
              <w:top w:val="single" w:sz="4" w:space="0" w:color="auto"/>
              <w:left w:val="single" w:sz="4" w:space="0" w:color="auto"/>
              <w:bottom w:val="single" w:sz="4" w:space="0" w:color="auto"/>
              <w:right w:val="nil"/>
            </w:tcBorders>
            <w:shd w:val="clear" w:color="auto" w:fill="auto"/>
            <w:vAlign w:val="center"/>
            <w:hideMark/>
          </w:tcPr>
          <w:p w14:paraId="150C362B" w14:textId="77777777" w:rsidR="00DC05FB" w:rsidRPr="008B79B3" w:rsidRDefault="00DC05FB" w:rsidP="00DC05FB">
            <w:pPr>
              <w:spacing w:after="0" w:line="240" w:lineRule="auto"/>
              <w:rPr>
                <w:rFonts w:ascii="Arial" w:eastAsia="Times New Roman" w:hAnsi="Arial" w:cs="Arial"/>
                <w:color w:val="FF0000"/>
              </w:rPr>
            </w:pPr>
          </w:p>
        </w:tc>
        <w:tc>
          <w:tcPr>
            <w:tcW w:w="1276"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1086CD5D" w14:textId="77777777" w:rsidR="00DC05FB" w:rsidRPr="008B79B3" w:rsidRDefault="00DC05FB" w:rsidP="00DC05FB">
            <w:pPr>
              <w:spacing w:after="0" w:line="240" w:lineRule="auto"/>
              <w:jc w:val="center"/>
              <w:rPr>
                <w:rFonts w:ascii="Arial" w:eastAsia="Times New Roman" w:hAnsi="Arial" w:cs="Arial"/>
                <w:b/>
                <w:bCs/>
              </w:rPr>
            </w:pPr>
            <w:r w:rsidRPr="008B79B3">
              <w:rPr>
                <w:rFonts w:ascii="Arial" w:eastAsia="Times New Roman" w:hAnsi="Arial" w:cs="Arial"/>
                <w:b/>
                <w:bCs/>
              </w:rPr>
              <w:t>2018/19 total</w:t>
            </w:r>
          </w:p>
        </w:tc>
        <w:tc>
          <w:tcPr>
            <w:tcW w:w="1012" w:type="dxa"/>
            <w:tcBorders>
              <w:top w:val="single" w:sz="4" w:space="0" w:color="auto"/>
              <w:left w:val="nil"/>
              <w:bottom w:val="single" w:sz="4" w:space="0" w:color="auto"/>
              <w:right w:val="single" w:sz="4" w:space="0" w:color="auto"/>
            </w:tcBorders>
            <w:shd w:val="clear" w:color="000000" w:fill="B4C6E7"/>
            <w:vAlign w:val="center"/>
            <w:hideMark/>
          </w:tcPr>
          <w:p w14:paraId="1E81360A" w14:textId="77777777" w:rsidR="00DC05FB" w:rsidRPr="008B79B3" w:rsidRDefault="00DC05FB" w:rsidP="00DC05FB">
            <w:pPr>
              <w:spacing w:after="0" w:line="240" w:lineRule="auto"/>
              <w:jc w:val="center"/>
              <w:rPr>
                <w:rFonts w:ascii="Arial" w:eastAsia="Times New Roman" w:hAnsi="Arial" w:cs="Arial"/>
                <w:b/>
                <w:bCs/>
              </w:rPr>
            </w:pPr>
            <w:r w:rsidRPr="008B79B3">
              <w:rPr>
                <w:rFonts w:ascii="Arial" w:eastAsia="Times New Roman" w:hAnsi="Arial" w:cs="Arial"/>
                <w:b/>
                <w:bCs/>
              </w:rPr>
              <w:t>Quarter 1</w:t>
            </w:r>
            <w:r w:rsidRPr="008B79B3">
              <w:rPr>
                <w:rFonts w:ascii="Arial" w:eastAsia="Times New Roman" w:hAnsi="Arial" w:cs="Arial"/>
                <w:b/>
                <w:bCs/>
              </w:rPr>
              <w:br/>
              <w:t>2019/20</w:t>
            </w:r>
          </w:p>
        </w:tc>
        <w:tc>
          <w:tcPr>
            <w:tcW w:w="1114" w:type="dxa"/>
            <w:tcBorders>
              <w:top w:val="single" w:sz="4" w:space="0" w:color="auto"/>
              <w:left w:val="nil"/>
              <w:bottom w:val="single" w:sz="4" w:space="0" w:color="auto"/>
              <w:right w:val="single" w:sz="4" w:space="0" w:color="auto"/>
            </w:tcBorders>
            <w:shd w:val="clear" w:color="000000" w:fill="B4C6E7"/>
            <w:vAlign w:val="center"/>
            <w:hideMark/>
          </w:tcPr>
          <w:p w14:paraId="5E02DB86" w14:textId="77777777" w:rsidR="00DC05FB" w:rsidRPr="008B79B3" w:rsidRDefault="00DC05FB" w:rsidP="00DC05FB">
            <w:pPr>
              <w:spacing w:after="0" w:line="240" w:lineRule="auto"/>
              <w:jc w:val="center"/>
              <w:rPr>
                <w:rFonts w:ascii="Arial" w:eastAsia="Times New Roman" w:hAnsi="Arial" w:cs="Arial"/>
                <w:b/>
                <w:bCs/>
              </w:rPr>
            </w:pPr>
            <w:r w:rsidRPr="008B79B3">
              <w:rPr>
                <w:rFonts w:ascii="Arial" w:eastAsia="Times New Roman" w:hAnsi="Arial" w:cs="Arial"/>
                <w:b/>
                <w:bCs/>
              </w:rPr>
              <w:t xml:space="preserve">Quarter 2 </w:t>
            </w:r>
            <w:r w:rsidRPr="008B79B3">
              <w:rPr>
                <w:rFonts w:ascii="Arial" w:eastAsia="Times New Roman" w:hAnsi="Arial" w:cs="Arial"/>
                <w:b/>
                <w:bCs/>
              </w:rPr>
              <w:br/>
              <w:t>2019/20</w:t>
            </w:r>
          </w:p>
        </w:tc>
        <w:tc>
          <w:tcPr>
            <w:tcW w:w="1134" w:type="dxa"/>
            <w:tcBorders>
              <w:top w:val="single" w:sz="4" w:space="0" w:color="auto"/>
              <w:left w:val="nil"/>
              <w:bottom w:val="single" w:sz="4" w:space="0" w:color="auto"/>
              <w:right w:val="single" w:sz="4" w:space="0" w:color="auto"/>
            </w:tcBorders>
            <w:shd w:val="clear" w:color="000000" w:fill="B4C6E7"/>
            <w:vAlign w:val="center"/>
            <w:hideMark/>
          </w:tcPr>
          <w:p w14:paraId="2EAC7EDE" w14:textId="77777777" w:rsidR="00DC05FB" w:rsidRPr="008B79B3" w:rsidRDefault="00DC05FB" w:rsidP="00DC05FB">
            <w:pPr>
              <w:spacing w:after="0" w:line="240" w:lineRule="auto"/>
              <w:jc w:val="center"/>
              <w:rPr>
                <w:rFonts w:ascii="Arial" w:eastAsia="Times New Roman" w:hAnsi="Arial" w:cs="Arial"/>
                <w:b/>
                <w:bCs/>
              </w:rPr>
            </w:pPr>
            <w:r w:rsidRPr="008B79B3">
              <w:rPr>
                <w:rFonts w:ascii="Arial" w:eastAsia="Times New Roman" w:hAnsi="Arial" w:cs="Arial"/>
                <w:b/>
                <w:bCs/>
              </w:rPr>
              <w:t xml:space="preserve">Quarter 3 </w:t>
            </w:r>
            <w:r w:rsidRPr="008B79B3">
              <w:rPr>
                <w:rFonts w:ascii="Arial" w:eastAsia="Times New Roman" w:hAnsi="Arial" w:cs="Arial"/>
                <w:b/>
                <w:bCs/>
              </w:rPr>
              <w:br/>
              <w:t>2019/20</w:t>
            </w:r>
          </w:p>
        </w:tc>
        <w:tc>
          <w:tcPr>
            <w:tcW w:w="1134" w:type="dxa"/>
            <w:tcBorders>
              <w:top w:val="single" w:sz="4" w:space="0" w:color="auto"/>
              <w:left w:val="nil"/>
              <w:bottom w:val="single" w:sz="4" w:space="0" w:color="auto"/>
              <w:right w:val="single" w:sz="4" w:space="0" w:color="auto"/>
            </w:tcBorders>
            <w:shd w:val="clear" w:color="000000" w:fill="B4C6E7"/>
            <w:vAlign w:val="center"/>
            <w:hideMark/>
          </w:tcPr>
          <w:p w14:paraId="2A8BE6A9" w14:textId="77777777" w:rsidR="00DC05FB" w:rsidRPr="008B79B3" w:rsidRDefault="00DC05FB" w:rsidP="00DC05FB">
            <w:pPr>
              <w:spacing w:after="0" w:line="240" w:lineRule="auto"/>
              <w:jc w:val="center"/>
              <w:rPr>
                <w:rFonts w:ascii="Arial" w:eastAsia="Times New Roman" w:hAnsi="Arial" w:cs="Arial"/>
                <w:b/>
                <w:bCs/>
              </w:rPr>
            </w:pPr>
            <w:r w:rsidRPr="008B79B3">
              <w:rPr>
                <w:rFonts w:ascii="Arial" w:eastAsia="Times New Roman" w:hAnsi="Arial" w:cs="Arial"/>
                <w:b/>
                <w:bCs/>
              </w:rPr>
              <w:t xml:space="preserve">Quarter 4 </w:t>
            </w:r>
            <w:r w:rsidRPr="008B79B3">
              <w:rPr>
                <w:rFonts w:ascii="Arial" w:eastAsia="Times New Roman" w:hAnsi="Arial" w:cs="Arial"/>
                <w:b/>
                <w:bCs/>
              </w:rPr>
              <w:br/>
              <w:t>2019/20</w:t>
            </w:r>
          </w:p>
        </w:tc>
        <w:tc>
          <w:tcPr>
            <w:tcW w:w="1084" w:type="dxa"/>
            <w:tcBorders>
              <w:top w:val="single" w:sz="4" w:space="0" w:color="auto"/>
              <w:left w:val="nil"/>
              <w:bottom w:val="single" w:sz="4" w:space="0" w:color="auto"/>
              <w:right w:val="single" w:sz="4" w:space="0" w:color="auto"/>
            </w:tcBorders>
            <w:shd w:val="clear" w:color="000000" w:fill="B4C6E7"/>
            <w:vAlign w:val="center"/>
            <w:hideMark/>
          </w:tcPr>
          <w:p w14:paraId="541CBD55" w14:textId="77777777" w:rsidR="00DC05FB" w:rsidRPr="008B79B3" w:rsidRDefault="00E25185" w:rsidP="00CF415F">
            <w:pPr>
              <w:spacing w:after="0" w:line="240" w:lineRule="auto"/>
              <w:jc w:val="center"/>
              <w:rPr>
                <w:rFonts w:ascii="Arial" w:eastAsia="Times New Roman" w:hAnsi="Arial" w:cs="Arial"/>
                <w:b/>
                <w:bCs/>
              </w:rPr>
            </w:pPr>
            <w:r w:rsidRPr="00E25185">
              <w:rPr>
                <w:rFonts w:ascii="Arial" w:eastAsia="Times New Roman" w:hAnsi="Arial" w:cs="Arial"/>
                <w:b/>
                <w:bCs/>
              </w:rPr>
              <w:t>2019/20 total</w:t>
            </w:r>
          </w:p>
        </w:tc>
      </w:tr>
      <w:tr w:rsidR="00A117A7" w:rsidRPr="008B79B3" w14:paraId="0B047E71" w14:textId="77777777" w:rsidTr="00A117A7">
        <w:trPr>
          <w:trHeight w:val="828"/>
        </w:trPr>
        <w:tc>
          <w:tcPr>
            <w:tcW w:w="7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66FED" w14:textId="77777777" w:rsidR="00A117A7" w:rsidRPr="008B79B3" w:rsidRDefault="00A117A7" w:rsidP="00A117A7">
            <w:pPr>
              <w:spacing w:after="0" w:line="240" w:lineRule="auto"/>
              <w:rPr>
                <w:rFonts w:ascii="Arial" w:eastAsia="Times New Roman" w:hAnsi="Arial" w:cs="Arial"/>
                <w:color w:val="000000"/>
              </w:rPr>
            </w:pPr>
            <w:r w:rsidRPr="008B79B3">
              <w:rPr>
                <w:rFonts w:ascii="Arial" w:eastAsia="Times New Roman" w:hAnsi="Arial" w:cs="Arial"/>
                <w:color w:val="000000"/>
              </w:rPr>
              <w:t>Total number of deaths reported on SWYPFT clinical systems where there has been system activity within 180 days of date of death*</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BD08986" w14:textId="77777777" w:rsidR="00A117A7" w:rsidRDefault="00A117A7" w:rsidP="00A117A7">
            <w:pPr>
              <w:spacing w:line="240" w:lineRule="auto"/>
              <w:jc w:val="center"/>
              <w:rPr>
                <w:rFonts w:ascii="Arial" w:hAnsi="Arial" w:cs="Arial"/>
                <w:sz w:val="24"/>
                <w:szCs w:val="24"/>
              </w:rPr>
            </w:pPr>
            <w:r>
              <w:rPr>
                <w:rFonts w:ascii="Arial" w:hAnsi="Arial" w:cs="Arial"/>
              </w:rPr>
              <w:t>2583**</w:t>
            </w:r>
          </w:p>
        </w:tc>
        <w:tc>
          <w:tcPr>
            <w:tcW w:w="1012" w:type="dxa"/>
            <w:tcBorders>
              <w:top w:val="nil"/>
              <w:left w:val="nil"/>
              <w:bottom w:val="single" w:sz="4" w:space="0" w:color="auto"/>
              <w:right w:val="single" w:sz="4" w:space="0" w:color="auto"/>
            </w:tcBorders>
            <w:shd w:val="clear" w:color="auto" w:fill="auto"/>
            <w:vAlign w:val="center"/>
            <w:hideMark/>
          </w:tcPr>
          <w:p w14:paraId="3A38BCE3" w14:textId="77777777" w:rsidR="00A117A7" w:rsidRDefault="00A117A7" w:rsidP="00A117A7">
            <w:pPr>
              <w:spacing w:line="240" w:lineRule="auto"/>
              <w:jc w:val="center"/>
              <w:rPr>
                <w:rFonts w:ascii="Arial" w:hAnsi="Arial" w:cs="Arial"/>
                <w:sz w:val="24"/>
                <w:szCs w:val="24"/>
              </w:rPr>
            </w:pPr>
            <w:r>
              <w:rPr>
                <w:rFonts w:ascii="Arial" w:hAnsi="Arial" w:cs="Arial"/>
              </w:rPr>
              <w:t>778</w:t>
            </w:r>
          </w:p>
        </w:tc>
        <w:tc>
          <w:tcPr>
            <w:tcW w:w="1114" w:type="dxa"/>
            <w:tcBorders>
              <w:top w:val="nil"/>
              <w:left w:val="nil"/>
              <w:bottom w:val="single" w:sz="4" w:space="0" w:color="auto"/>
              <w:right w:val="single" w:sz="4" w:space="0" w:color="auto"/>
            </w:tcBorders>
            <w:shd w:val="clear" w:color="auto" w:fill="auto"/>
            <w:vAlign w:val="center"/>
            <w:hideMark/>
          </w:tcPr>
          <w:p w14:paraId="2DB316D3" w14:textId="77777777" w:rsidR="00A117A7" w:rsidRDefault="00A117A7" w:rsidP="00A117A7">
            <w:pPr>
              <w:spacing w:line="240" w:lineRule="auto"/>
              <w:jc w:val="center"/>
              <w:rPr>
                <w:rFonts w:ascii="Arial" w:hAnsi="Arial" w:cs="Arial"/>
                <w:sz w:val="24"/>
                <w:szCs w:val="24"/>
              </w:rPr>
            </w:pPr>
            <w:r>
              <w:rPr>
                <w:rFonts w:ascii="Arial" w:hAnsi="Arial" w:cs="Arial"/>
              </w:rPr>
              <w:t>700</w:t>
            </w:r>
          </w:p>
        </w:tc>
        <w:tc>
          <w:tcPr>
            <w:tcW w:w="1134" w:type="dxa"/>
            <w:tcBorders>
              <w:top w:val="nil"/>
              <w:left w:val="nil"/>
              <w:bottom w:val="single" w:sz="4" w:space="0" w:color="auto"/>
              <w:right w:val="single" w:sz="4" w:space="0" w:color="auto"/>
            </w:tcBorders>
            <w:shd w:val="clear" w:color="auto" w:fill="auto"/>
            <w:vAlign w:val="center"/>
            <w:hideMark/>
          </w:tcPr>
          <w:p w14:paraId="4A7F65A2" w14:textId="77777777" w:rsidR="00A117A7" w:rsidRDefault="00A117A7" w:rsidP="00A117A7">
            <w:pPr>
              <w:spacing w:line="240" w:lineRule="auto"/>
              <w:jc w:val="center"/>
              <w:rPr>
                <w:rFonts w:ascii="Arial" w:hAnsi="Arial" w:cs="Arial"/>
                <w:sz w:val="24"/>
                <w:szCs w:val="24"/>
              </w:rPr>
            </w:pPr>
            <w:r>
              <w:rPr>
                <w:rFonts w:ascii="Arial" w:hAnsi="Arial" w:cs="Arial"/>
              </w:rPr>
              <w:t>902</w:t>
            </w:r>
          </w:p>
        </w:tc>
        <w:tc>
          <w:tcPr>
            <w:tcW w:w="1134" w:type="dxa"/>
            <w:tcBorders>
              <w:top w:val="nil"/>
              <w:left w:val="nil"/>
              <w:bottom w:val="single" w:sz="4" w:space="0" w:color="auto"/>
              <w:right w:val="single" w:sz="4" w:space="0" w:color="auto"/>
            </w:tcBorders>
            <w:shd w:val="clear" w:color="auto" w:fill="auto"/>
            <w:vAlign w:val="center"/>
            <w:hideMark/>
          </w:tcPr>
          <w:p w14:paraId="146ACE8C" w14:textId="77777777" w:rsidR="00A117A7" w:rsidRDefault="00A117A7" w:rsidP="00A117A7">
            <w:pPr>
              <w:spacing w:line="240" w:lineRule="auto"/>
              <w:jc w:val="center"/>
              <w:rPr>
                <w:rFonts w:ascii="Arial" w:hAnsi="Arial" w:cs="Arial"/>
                <w:sz w:val="24"/>
                <w:szCs w:val="24"/>
              </w:rPr>
            </w:pPr>
            <w:r>
              <w:rPr>
                <w:rFonts w:ascii="Arial" w:hAnsi="Arial" w:cs="Arial"/>
              </w:rPr>
              <w:t>882</w:t>
            </w:r>
          </w:p>
        </w:tc>
        <w:tc>
          <w:tcPr>
            <w:tcW w:w="1084" w:type="dxa"/>
            <w:tcBorders>
              <w:top w:val="nil"/>
              <w:left w:val="nil"/>
              <w:bottom w:val="single" w:sz="4" w:space="0" w:color="auto"/>
              <w:right w:val="single" w:sz="4" w:space="0" w:color="auto"/>
            </w:tcBorders>
            <w:shd w:val="clear" w:color="auto" w:fill="auto"/>
            <w:vAlign w:val="center"/>
            <w:hideMark/>
          </w:tcPr>
          <w:p w14:paraId="60828A67" w14:textId="77777777" w:rsidR="00A117A7" w:rsidRDefault="00A117A7" w:rsidP="00A117A7">
            <w:pPr>
              <w:spacing w:line="240" w:lineRule="auto"/>
              <w:jc w:val="center"/>
              <w:rPr>
                <w:rFonts w:ascii="Arial" w:hAnsi="Arial" w:cs="Arial"/>
                <w:sz w:val="24"/>
                <w:szCs w:val="24"/>
              </w:rPr>
            </w:pPr>
            <w:r>
              <w:rPr>
                <w:rFonts w:ascii="Arial" w:hAnsi="Arial" w:cs="Arial"/>
              </w:rPr>
              <w:t>3262</w:t>
            </w:r>
          </w:p>
        </w:tc>
      </w:tr>
      <w:tr w:rsidR="00A117A7" w:rsidRPr="008B79B3" w14:paraId="3B29B52D" w14:textId="77777777" w:rsidTr="00BE0AED">
        <w:trPr>
          <w:trHeight w:val="540"/>
        </w:trPr>
        <w:tc>
          <w:tcPr>
            <w:tcW w:w="7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3738A" w14:textId="77777777" w:rsidR="00BE0AED" w:rsidRPr="008B79B3" w:rsidRDefault="00A117A7" w:rsidP="00BE0AED">
            <w:pPr>
              <w:spacing w:after="0" w:line="240" w:lineRule="auto"/>
              <w:rPr>
                <w:rFonts w:ascii="Arial" w:eastAsia="Times New Roman" w:hAnsi="Arial" w:cs="Arial"/>
              </w:rPr>
            </w:pPr>
            <w:r w:rsidRPr="008B79B3">
              <w:rPr>
                <w:rFonts w:ascii="Arial" w:eastAsia="Times New Roman" w:hAnsi="Arial" w:cs="Arial"/>
              </w:rPr>
              <w:t xml:space="preserve">Total number of deaths reported on Datix by staff (by reported date, not date of death) </w:t>
            </w:r>
          </w:p>
        </w:tc>
        <w:tc>
          <w:tcPr>
            <w:tcW w:w="1276" w:type="dxa"/>
            <w:tcBorders>
              <w:top w:val="nil"/>
              <w:left w:val="nil"/>
              <w:bottom w:val="single" w:sz="4" w:space="0" w:color="auto"/>
              <w:right w:val="single" w:sz="4" w:space="0" w:color="auto"/>
            </w:tcBorders>
            <w:shd w:val="clear" w:color="auto" w:fill="auto"/>
            <w:vAlign w:val="center"/>
            <w:hideMark/>
          </w:tcPr>
          <w:p w14:paraId="562461B4" w14:textId="77777777" w:rsidR="00A117A7" w:rsidRDefault="00A117A7" w:rsidP="00A117A7">
            <w:pPr>
              <w:spacing w:line="240" w:lineRule="auto"/>
              <w:jc w:val="center"/>
              <w:rPr>
                <w:rFonts w:ascii="Arial" w:hAnsi="Arial" w:cs="Arial"/>
                <w:sz w:val="24"/>
                <w:szCs w:val="24"/>
              </w:rPr>
            </w:pPr>
            <w:r>
              <w:rPr>
                <w:rFonts w:ascii="Arial" w:hAnsi="Arial" w:cs="Arial"/>
              </w:rPr>
              <w:t>344</w:t>
            </w:r>
          </w:p>
        </w:tc>
        <w:tc>
          <w:tcPr>
            <w:tcW w:w="1012" w:type="dxa"/>
            <w:tcBorders>
              <w:top w:val="nil"/>
              <w:left w:val="nil"/>
              <w:bottom w:val="single" w:sz="4" w:space="0" w:color="auto"/>
              <w:right w:val="single" w:sz="4" w:space="0" w:color="auto"/>
            </w:tcBorders>
            <w:shd w:val="clear" w:color="auto" w:fill="auto"/>
            <w:vAlign w:val="center"/>
            <w:hideMark/>
          </w:tcPr>
          <w:p w14:paraId="4CC517CC" w14:textId="77777777" w:rsidR="00A117A7" w:rsidRDefault="00A117A7" w:rsidP="00A117A7">
            <w:pPr>
              <w:spacing w:line="240" w:lineRule="auto"/>
              <w:jc w:val="center"/>
              <w:rPr>
                <w:rFonts w:ascii="Arial" w:hAnsi="Arial" w:cs="Arial"/>
                <w:sz w:val="24"/>
                <w:szCs w:val="24"/>
              </w:rPr>
            </w:pPr>
            <w:r>
              <w:rPr>
                <w:rFonts w:ascii="Arial" w:hAnsi="Arial" w:cs="Arial"/>
              </w:rPr>
              <w:t>74</w:t>
            </w:r>
          </w:p>
        </w:tc>
        <w:tc>
          <w:tcPr>
            <w:tcW w:w="1114" w:type="dxa"/>
            <w:tcBorders>
              <w:top w:val="nil"/>
              <w:left w:val="nil"/>
              <w:bottom w:val="single" w:sz="4" w:space="0" w:color="auto"/>
              <w:right w:val="single" w:sz="4" w:space="0" w:color="auto"/>
            </w:tcBorders>
            <w:shd w:val="clear" w:color="auto" w:fill="auto"/>
            <w:vAlign w:val="center"/>
            <w:hideMark/>
          </w:tcPr>
          <w:p w14:paraId="402ECC0B" w14:textId="77777777" w:rsidR="00A117A7" w:rsidRDefault="00A117A7" w:rsidP="00A117A7">
            <w:pPr>
              <w:spacing w:line="240" w:lineRule="auto"/>
              <w:jc w:val="center"/>
              <w:rPr>
                <w:rFonts w:ascii="Arial" w:hAnsi="Arial" w:cs="Arial"/>
                <w:sz w:val="24"/>
                <w:szCs w:val="24"/>
              </w:rPr>
            </w:pPr>
            <w:r>
              <w:rPr>
                <w:rFonts w:ascii="Arial" w:hAnsi="Arial" w:cs="Arial"/>
              </w:rPr>
              <w:t>78</w:t>
            </w:r>
          </w:p>
        </w:tc>
        <w:tc>
          <w:tcPr>
            <w:tcW w:w="1134" w:type="dxa"/>
            <w:tcBorders>
              <w:top w:val="nil"/>
              <w:left w:val="nil"/>
              <w:bottom w:val="single" w:sz="4" w:space="0" w:color="auto"/>
              <w:right w:val="single" w:sz="4" w:space="0" w:color="auto"/>
            </w:tcBorders>
            <w:shd w:val="clear" w:color="auto" w:fill="auto"/>
            <w:vAlign w:val="center"/>
            <w:hideMark/>
          </w:tcPr>
          <w:p w14:paraId="5E56A127" w14:textId="77777777" w:rsidR="00A117A7" w:rsidRDefault="00A117A7" w:rsidP="00A117A7">
            <w:pPr>
              <w:spacing w:line="240" w:lineRule="auto"/>
              <w:jc w:val="center"/>
              <w:rPr>
                <w:rFonts w:ascii="Arial" w:hAnsi="Arial" w:cs="Arial"/>
                <w:sz w:val="24"/>
                <w:szCs w:val="24"/>
              </w:rPr>
            </w:pPr>
            <w:r>
              <w:rPr>
                <w:rFonts w:ascii="Arial" w:hAnsi="Arial" w:cs="Arial"/>
              </w:rPr>
              <w:t>95</w:t>
            </w:r>
          </w:p>
        </w:tc>
        <w:tc>
          <w:tcPr>
            <w:tcW w:w="1134" w:type="dxa"/>
            <w:tcBorders>
              <w:top w:val="nil"/>
              <w:left w:val="nil"/>
              <w:bottom w:val="single" w:sz="4" w:space="0" w:color="auto"/>
              <w:right w:val="single" w:sz="4" w:space="0" w:color="auto"/>
            </w:tcBorders>
            <w:shd w:val="clear" w:color="auto" w:fill="auto"/>
            <w:vAlign w:val="center"/>
            <w:hideMark/>
          </w:tcPr>
          <w:p w14:paraId="3C71493C" w14:textId="77777777" w:rsidR="00A117A7" w:rsidRDefault="00A117A7" w:rsidP="00A117A7">
            <w:pPr>
              <w:spacing w:line="240" w:lineRule="auto"/>
              <w:jc w:val="center"/>
              <w:rPr>
                <w:rFonts w:ascii="Arial" w:hAnsi="Arial" w:cs="Arial"/>
                <w:sz w:val="24"/>
                <w:szCs w:val="24"/>
              </w:rPr>
            </w:pPr>
            <w:r>
              <w:rPr>
                <w:rFonts w:ascii="Arial" w:hAnsi="Arial" w:cs="Arial"/>
              </w:rPr>
              <w:t>108</w:t>
            </w:r>
          </w:p>
        </w:tc>
        <w:tc>
          <w:tcPr>
            <w:tcW w:w="1084" w:type="dxa"/>
            <w:tcBorders>
              <w:top w:val="nil"/>
              <w:left w:val="nil"/>
              <w:bottom w:val="single" w:sz="4" w:space="0" w:color="auto"/>
              <w:right w:val="single" w:sz="4" w:space="0" w:color="auto"/>
            </w:tcBorders>
            <w:shd w:val="clear" w:color="auto" w:fill="auto"/>
            <w:vAlign w:val="center"/>
            <w:hideMark/>
          </w:tcPr>
          <w:p w14:paraId="61134422" w14:textId="77777777" w:rsidR="00A117A7" w:rsidRDefault="00A117A7" w:rsidP="00A117A7">
            <w:pPr>
              <w:spacing w:line="240" w:lineRule="auto"/>
              <w:jc w:val="center"/>
              <w:rPr>
                <w:rFonts w:ascii="Arial" w:hAnsi="Arial" w:cs="Arial"/>
                <w:sz w:val="24"/>
                <w:szCs w:val="24"/>
              </w:rPr>
            </w:pPr>
            <w:r>
              <w:rPr>
                <w:rFonts w:ascii="Arial" w:hAnsi="Arial" w:cs="Arial"/>
              </w:rPr>
              <w:t>355</w:t>
            </w:r>
          </w:p>
        </w:tc>
      </w:tr>
      <w:tr w:rsidR="00A117A7" w:rsidRPr="008B79B3" w14:paraId="061228CF" w14:textId="77777777" w:rsidTr="00BE0AED">
        <w:trPr>
          <w:trHeight w:val="686"/>
        </w:trPr>
        <w:tc>
          <w:tcPr>
            <w:tcW w:w="7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85D9B" w14:textId="77777777" w:rsidR="00A117A7" w:rsidRPr="008B79B3" w:rsidRDefault="00A117A7" w:rsidP="00A117A7">
            <w:pPr>
              <w:spacing w:after="0" w:line="240" w:lineRule="auto"/>
              <w:rPr>
                <w:rFonts w:ascii="Arial" w:eastAsia="Times New Roman" w:hAnsi="Arial" w:cs="Arial"/>
                <w:color w:val="0D0D0D"/>
              </w:rPr>
            </w:pPr>
            <w:r w:rsidRPr="008B79B3">
              <w:rPr>
                <w:rFonts w:ascii="Arial" w:eastAsia="Times New Roman" w:hAnsi="Arial" w:cs="Arial"/>
                <w:color w:val="0D0D0D"/>
              </w:rPr>
              <w:t xml:space="preserve">Total number of deaths reviewed </w:t>
            </w:r>
          </w:p>
        </w:tc>
        <w:tc>
          <w:tcPr>
            <w:tcW w:w="1276" w:type="dxa"/>
            <w:tcBorders>
              <w:top w:val="nil"/>
              <w:left w:val="nil"/>
              <w:bottom w:val="single" w:sz="4" w:space="0" w:color="auto"/>
              <w:right w:val="single" w:sz="4" w:space="0" w:color="auto"/>
            </w:tcBorders>
            <w:shd w:val="clear" w:color="auto" w:fill="auto"/>
            <w:vAlign w:val="center"/>
            <w:hideMark/>
          </w:tcPr>
          <w:p w14:paraId="23CBF07B" w14:textId="77777777" w:rsidR="00A117A7" w:rsidRDefault="00A117A7" w:rsidP="00BE0AED">
            <w:pPr>
              <w:spacing w:line="240" w:lineRule="auto"/>
              <w:jc w:val="center"/>
              <w:rPr>
                <w:rFonts w:ascii="Arial" w:hAnsi="Arial" w:cs="Arial"/>
                <w:sz w:val="24"/>
                <w:szCs w:val="24"/>
              </w:rPr>
            </w:pPr>
            <w:r>
              <w:rPr>
                <w:rFonts w:ascii="Arial" w:hAnsi="Arial" w:cs="Arial"/>
              </w:rPr>
              <w:t>344</w:t>
            </w:r>
          </w:p>
        </w:tc>
        <w:tc>
          <w:tcPr>
            <w:tcW w:w="1012" w:type="dxa"/>
            <w:tcBorders>
              <w:top w:val="nil"/>
              <w:left w:val="nil"/>
              <w:bottom w:val="single" w:sz="4" w:space="0" w:color="auto"/>
              <w:right w:val="single" w:sz="4" w:space="0" w:color="auto"/>
            </w:tcBorders>
            <w:shd w:val="clear" w:color="auto" w:fill="auto"/>
            <w:vAlign w:val="center"/>
            <w:hideMark/>
          </w:tcPr>
          <w:p w14:paraId="61D56B1C" w14:textId="77777777" w:rsidR="00A117A7" w:rsidRDefault="00A117A7" w:rsidP="00BE0AED">
            <w:pPr>
              <w:spacing w:line="240" w:lineRule="auto"/>
              <w:jc w:val="center"/>
              <w:rPr>
                <w:rFonts w:ascii="Arial" w:hAnsi="Arial" w:cs="Arial"/>
                <w:sz w:val="24"/>
                <w:szCs w:val="24"/>
              </w:rPr>
            </w:pPr>
            <w:r>
              <w:rPr>
                <w:rFonts w:ascii="Arial" w:hAnsi="Arial" w:cs="Arial"/>
              </w:rPr>
              <w:t>74</w:t>
            </w:r>
          </w:p>
        </w:tc>
        <w:tc>
          <w:tcPr>
            <w:tcW w:w="1114" w:type="dxa"/>
            <w:tcBorders>
              <w:top w:val="nil"/>
              <w:left w:val="nil"/>
              <w:bottom w:val="single" w:sz="4" w:space="0" w:color="auto"/>
              <w:right w:val="single" w:sz="4" w:space="0" w:color="auto"/>
            </w:tcBorders>
            <w:shd w:val="clear" w:color="auto" w:fill="auto"/>
            <w:vAlign w:val="center"/>
            <w:hideMark/>
          </w:tcPr>
          <w:p w14:paraId="537AF580" w14:textId="77777777" w:rsidR="00A117A7" w:rsidRDefault="00A117A7" w:rsidP="00BE0AED">
            <w:pPr>
              <w:spacing w:line="240" w:lineRule="auto"/>
              <w:jc w:val="center"/>
              <w:rPr>
                <w:rFonts w:ascii="Arial" w:hAnsi="Arial" w:cs="Arial"/>
                <w:sz w:val="24"/>
                <w:szCs w:val="24"/>
              </w:rPr>
            </w:pPr>
            <w:r>
              <w:rPr>
                <w:rFonts w:ascii="Arial" w:hAnsi="Arial" w:cs="Arial"/>
              </w:rPr>
              <w:t>78</w:t>
            </w:r>
          </w:p>
        </w:tc>
        <w:tc>
          <w:tcPr>
            <w:tcW w:w="1134" w:type="dxa"/>
            <w:tcBorders>
              <w:top w:val="nil"/>
              <w:left w:val="nil"/>
              <w:bottom w:val="single" w:sz="4" w:space="0" w:color="auto"/>
              <w:right w:val="single" w:sz="4" w:space="0" w:color="auto"/>
            </w:tcBorders>
            <w:shd w:val="clear" w:color="auto" w:fill="auto"/>
            <w:vAlign w:val="center"/>
            <w:hideMark/>
          </w:tcPr>
          <w:p w14:paraId="2F2911A8" w14:textId="77777777" w:rsidR="00A117A7" w:rsidRDefault="00A117A7" w:rsidP="00BE0AED">
            <w:pPr>
              <w:spacing w:line="240" w:lineRule="auto"/>
              <w:jc w:val="center"/>
              <w:rPr>
                <w:rFonts w:ascii="Arial" w:hAnsi="Arial" w:cs="Arial"/>
                <w:sz w:val="24"/>
                <w:szCs w:val="24"/>
              </w:rPr>
            </w:pPr>
            <w:r>
              <w:rPr>
                <w:rFonts w:ascii="Arial" w:hAnsi="Arial" w:cs="Arial"/>
              </w:rPr>
              <w:t>95</w:t>
            </w:r>
          </w:p>
        </w:tc>
        <w:tc>
          <w:tcPr>
            <w:tcW w:w="1134" w:type="dxa"/>
            <w:tcBorders>
              <w:top w:val="nil"/>
              <w:left w:val="nil"/>
              <w:bottom w:val="single" w:sz="4" w:space="0" w:color="auto"/>
              <w:right w:val="single" w:sz="4" w:space="0" w:color="auto"/>
            </w:tcBorders>
            <w:shd w:val="clear" w:color="auto" w:fill="auto"/>
            <w:vAlign w:val="center"/>
            <w:hideMark/>
          </w:tcPr>
          <w:p w14:paraId="559731EC" w14:textId="77777777" w:rsidR="00A117A7" w:rsidRDefault="00A117A7" w:rsidP="00BE0AED">
            <w:pPr>
              <w:spacing w:line="240" w:lineRule="auto"/>
              <w:jc w:val="center"/>
              <w:rPr>
                <w:rFonts w:ascii="Arial" w:hAnsi="Arial" w:cs="Arial"/>
                <w:sz w:val="24"/>
                <w:szCs w:val="24"/>
              </w:rPr>
            </w:pPr>
            <w:r>
              <w:rPr>
                <w:rFonts w:ascii="Arial" w:hAnsi="Arial" w:cs="Arial"/>
              </w:rPr>
              <w:t>108</w:t>
            </w:r>
          </w:p>
        </w:tc>
        <w:tc>
          <w:tcPr>
            <w:tcW w:w="1084" w:type="dxa"/>
            <w:tcBorders>
              <w:top w:val="nil"/>
              <w:left w:val="nil"/>
              <w:bottom w:val="single" w:sz="4" w:space="0" w:color="auto"/>
              <w:right w:val="single" w:sz="4" w:space="0" w:color="auto"/>
            </w:tcBorders>
            <w:shd w:val="clear" w:color="auto" w:fill="auto"/>
            <w:vAlign w:val="center"/>
            <w:hideMark/>
          </w:tcPr>
          <w:p w14:paraId="2463070C" w14:textId="77777777" w:rsidR="00A117A7" w:rsidRDefault="00A117A7" w:rsidP="00BE0AED">
            <w:pPr>
              <w:spacing w:line="240" w:lineRule="auto"/>
              <w:jc w:val="center"/>
              <w:rPr>
                <w:rFonts w:ascii="Arial" w:hAnsi="Arial" w:cs="Arial"/>
                <w:sz w:val="24"/>
                <w:szCs w:val="24"/>
              </w:rPr>
            </w:pPr>
            <w:r>
              <w:rPr>
                <w:rFonts w:ascii="Arial" w:hAnsi="Arial" w:cs="Arial"/>
              </w:rPr>
              <w:t>355</w:t>
            </w:r>
          </w:p>
        </w:tc>
      </w:tr>
      <w:tr w:rsidR="00A117A7" w:rsidRPr="008B79B3" w14:paraId="319851CB" w14:textId="77777777" w:rsidTr="00BE0AED">
        <w:trPr>
          <w:trHeight w:val="696"/>
        </w:trPr>
        <w:tc>
          <w:tcPr>
            <w:tcW w:w="7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451B0" w14:textId="77777777" w:rsidR="00A117A7" w:rsidRPr="008B79B3" w:rsidRDefault="00A117A7" w:rsidP="00A117A7">
            <w:pPr>
              <w:spacing w:after="0" w:line="240" w:lineRule="auto"/>
              <w:rPr>
                <w:rFonts w:ascii="Arial" w:eastAsia="Times New Roman" w:hAnsi="Arial" w:cs="Arial"/>
                <w:color w:val="0D0D0D"/>
              </w:rPr>
            </w:pPr>
            <w:r w:rsidRPr="008B79B3">
              <w:rPr>
                <w:rFonts w:ascii="Arial" w:eastAsia="Times New Roman" w:hAnsi="Arial" w:cs="Arial"/>
                <w:color w:val="0D0D0D"/>
              </w:rPr>
              <w:t xml:space="preserve">Total Number of deaths which were in scope </w:t>
            </w:r>
          </w:p>
        </w:tc>
        <w:tc>
          <w:tcPr>
            <w:tcW w:w="1276" w:type="dxa"/>
            <w:tcBorders>
              <w:top w:val="nil"/>
              <w:left w:val="nil"/>
              <w:bottom w:val="single" w:sz="4" w:space="0" w:color="auto"/>
              <w:right w:val="single" w:sz="4" w:space="0" w:color="auto"/>
            </w:tcBorders>
            <w:shd w:val="clear" w:color="auto" w:fill="auto"/>
            <w:vAlign w:val="center"/>
            <w:hideMark/>
          </w:tcPr>
          <w:p w14:paraId="7DAE8129" w14:textId="77777777" w:rsidR="00A117A7" w:rsidRDefault="00A117A7" w:rsidP="00A117A7">
            <w:pPr>
              <w:spacing w:line="240" w:lineRule="auto"/>
              <w:jc w:val="center"/>
              <w:rPr>
                <w:rFonts w:ascii="Arial" w:hAnsi="Arial" w:cs="Arial"/>
                <w:sz w:val="24"/>
                <w:szCs w:val="24"/>
              </w:rPr>
            </w:pPr>
            <w:r>
              <w:rPr>
                <w:rFonts w:ascii="Arial" w:hAnsi="Arial" w:cs="Arial"/>
              </w:rPr>
              <w:t>274</w:t>
            </w:r>
          </w:p>
        </w:tc>
        <w:tc>
          <w:tcPr>
            <w:tcW w:w="1012" w:type="dxa"/>
            <w:tcBorders>
              <w:top w:val="nil"/>
              <w:left w:val="nil"/>
              <w:bottom w:val="single" w:sz="4" w:space="0" w:color="auto"/>
              <w:right w:val="single" w:sz="4" w:space="0" w:color="auto"/>
            </w:tcBorders>
            <w:shd w:val="clear" w:color="auto" w:fill="auto"/>
            <w:vAlign w:val="center"/>
            <w:hideMark/>
          </w:tcPr>
          <w:p w14:paraId="2A9DF2E4" w14:textId="77777777" w:rsidR="00A117A7" w:rsidRDefault="00A117A7" w:rsidP="00A117A7">
            <w:pPr>
              <w:spacing w:line="240" w:lineRule="auto"/>
              <w:jc w:val="center"/>
              <w:rPr>
                <w:rFonts w:ascii="Arial" w:hAnsi="Arial" w:cs="Arial"/>
                <w:color w:val="0D0D0D"/>
                <w:sz w:val="24"/>
                <w:szCs w:val="24"/>
              </w:rPr>
            </w:pPr>
            <w:r>
              <w:rPr>
                <w:rFonts w:ascii="Arial" w:hAnsi="Arial" w:cs="Arial"/>
                <w:color w:val="0D0D0D"/>
              </w:rPr>
              <w:t>63</w:t>
            </w:r>
          </w:p>
        </w:tc>
        <w:tc>
          <w:tcPr>
            <w:tcW w:w="1114" w:type="dxa"/>
            <w:tcBorders>
              <w:top w:val="nil"/>
              <w:left w:val="nil"/>
              <w:bottom w:val="single" w:sz="4" w:space="0" w:color="auto"/>
              <w:right w:val="single" w:sz="4" w:space="0" w:color="auto"/>
            </w:tcBorders>
            <w:shd w:val="clear" w:color="auto" w:fill="auto"/>
            <w:vAlign w:val="center"/>
            <w:hideMark/>
          </w:tcPr>
          <w:p w14:paraId="087BDC17" w14:textId="77777777" w:rsidR="00A117A7" w:rsidRDefault="00A117A7" w:rsidP="00A117A7">
            <w:pPr>
              <w:spacing w:line="240" w:lineRule="auto"/>
              <w:jc w:val="center"/>
              <w:rPr>
                <w:rFonts w:ascii="Arial" w:hAnsi="Arial" w:cs="Arial"/>
                <w:color w:val="0D0D0D"/>
                <w:sz w:val="24"/>
                <w:szCs w:val="24"/>
              </w:rPr>
            </w:pPr>
            <w:r>
              <w:rPr>
                <w:rFonts w:ascii="Arial" w:hAnsi="Arial" w:cs="Arial"/>
                <w:color w:val="0D0D0D"/>
              </w:rPr>
              <w:t>61</w:t>
            </w:r>
          </w:p>
        </w:tc>
        <w:tc>
          <w:tcPr>
            <w:tcW w:w="1134" w:type="dxa"/>
            <w:tcBorders>
              <w:top w:val="nil"/>
              <w:left w:val="nil"/>
              <w:bottom w:val="single" w:sz="4" w:space="0" w:color="auto"/>
              <w:right w:val="single" w:sz="4" w:space="0" w:color="auto"/>
            </w:tcBorders>
            <w:shd w:val="clear" w:color="auto" w:fill="auto"/>
            <w:vAlign w:val="center"/>
            <w:hideMark/>
          </w:tcPr>
          <w:p w14:paraId="12B707DE" w14:textId="77777777" w:rsidR="00A117A7" w:rsidRDefault="00D51581" w:rsidP="00A117A7">
            <w:pPr>
              <w:spacing w:line="240" w:lineRule="auto"/>
              <w:jc w:val="center"/>
              <w:rPr>
                <w:rFonts w:ascii="Arial" w:hAnsi="Arial" w:cs="Arial"/>
                <w:color w:val="0D0D0D"/>
                <w:sz w:val="24"/>
                <w:szCs w:val="24"/>
              </w:rPr>
            </w:pPr>
            <w:r>
              <w:rPr>
                <w:rFonts w:ascii="Arial" w:hAnsi="Arial" w:cs="Arial"/>
                <w:color w:val="0D0D0D"/>
              </w:rPr>
              <w:t>80</w:t>
            </w:r>
          </w:p>
        </w:tc>
        <w:tc>
          <w:tcPr>
            <w:tcW w:w="1134" w:type="dxa"/>
            <w:tcBorders>
              <w:top w:val="nil"/>
              <w:left w:val="nil"/>
              <w:bottom w:val="single" w:sz="4" w:space="0" w:color="auto"/>
              <w:right w:val="single" w:sz="4" w:space="0" w:color="auto"/>
            </w:tcBorders>
            <w:shd w:val="clear" w:color="auto" w:fill="auto"/>
            <w:vAlign w:val="center"/>
            <w:hideMark/>
          </w:tcPr>
          <w:p w14:paraId="12B59B41" w14:textId="77777777" w:rsidR="00A117A7" w:rsidRDefault="00A117A7" w:rsidP="00A117A7">
            <w:pPr>
              <w:spacing w:line="240" w:lineRule="auto"/>
              <w:jc w:val="center"/>
              <w:rPr>
                <w:rFonts w:ascii="Arial" w:hAnsi="Arial" w:cs="Arial"/>
                <w:sz w:val="24"/>
                <w:szCs w:val="24"/>
              </w:rPr>
            </w:pPr>
            <w:r>
              <w:rPr>
                <w:rFonts w:ascii="Arial" w:hAnsi="Arial" w:cs="Arial"/>
              </w:rPr>
              <w:t>82</w:t>
            </w:r>
          </w:p>
        </w:tc>
        <w:tc>
          <w:tcPr>
            <w:tcW w:w="1084" w:type="dxa"/>
            <w:tcBorders>
              <w:top w:val="nil"/>
              <w:left w:val="nil"/>
              <w:bottom w:val="single" w:sz="4" w:space="0" w:color="auto"/>
              <w:right w:val="single" w:sz="4" w:space="0" w:color="auto"/>
            </w:tcBorders>
            <w:shd w:val="clear" w:color="auto" w:fill="auto"/>
            <w:vAlign w:val="center"/>
            <w:hideMark/>
          </w:tcPr>
          <w:p w14:paraId="5C11CAA7" w14:textId="77777777" w:rsidR="00A117A7" w:rsidRDefault="00D51581" w:rsidP="00A117A7">
            <w:pPr>
              <w:spacing w:line="240" w:lineRule="auto"/>
              <w:jc w:val="center"/>
              <w:rPr>
                <w:rFonts w:ascii="Arial" w:hAnsi="Arial" w:cs="Arial"/>
                <w:sz w:val="24"/>
                <w:szCs w:val="24"/>
              </w:rPr>
            </w:pPr>
            <w:r>
              <w:rPr>
                <w:rFonts w:ascii="Arial" w:hAnsi="Arial" w:cs="Arial"/>
              </w:rPr>
              <w:t>286</w:t>
            </w:r>
          </w:p>
        </w:tc>
      </w:tr>
      <w:tr w:rsidR="00A117A7" w:rsidRPr="008B79B3" w14:paraId="5E2374E0" w14:textId="77777777" w:rsidTr="00BE0AED">
        <w:trPr>
          <w:trHeight w:val="578"/>
        </w:trPr>
        <w:tc>
          <w:tcPr>
            <w:tcW w:w="767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B86AC84" w14:textId="77777777" w:rsidR="00A117A7" w:rsidRPr="008B79B3" w:rsidRDefault="00A117A7" w:rsidP="00A117A7">
            <w:pPr>
              <w:spacing w:after="0" w:line="240" w:lineRule="auto"/>
              <w:rPr>
                <w:rFonts w:ascii="Arial" w:eastAsia="Times New Roman" w:hAnsi="Arial" w:cs="Arial"/>
              </w:rPr>
            </w:pPr>
            <w:r w:rsidRPr="008B79B3">
              <w:rPr>
                <w:rFonts w:ascii="Arial" w:eastAsia="Times New Roman" w:hAnsi="Arial" w:cs="Arial"/>
              </w:rPr>
              <w:t xml:space="preserve">Total Number of deaths reported on Datix that were not in the Trust's scope </w:t>
            </w:r>
          </w:p>
        </w:tc>
        <w:tc>
          <w:tcPr>
            <w:tcW w:w="1276" w:type="dxa"/>
            <w:tcBorders>
              <w:top w:val="nil"/>
              <w:left w:val="nil"/>
              <w:bottom w:val="single" w:sz="4" w:space="0" w:color="auto"/>
              <w:right w:val="single" w:sz="4" w:space="0" w:color="auto"/>
            </w:tcBorders>
            <w:shd w:val="clear" w:color="auto" w:fill="auto"/>
            <w:vAlign w:val="center"/>
            <w:hideMark/>
          </w:tcPr>
          <w:p w14:paraId="389520A4" w14:textId="77777777" w:rsidR="00A117A7" w:rsidRDefault="00A117A7" w:rsidP="00A117A7">
            <w:pPr>
              <w:spacing w:line="240" w:lineRule="auto"/>
              <w:jc w:val="center"/>
              <w:rPr>
                <w:rFonts w:ascii="Arial" w:hAnsi="Arial" w:cs="Arial"/>
                <w:sz w:val="24"/>
                <w:szCs w:val="24"/>
              </w:rPr>
            </w:pPr>
            <w:r>
              <w:rPr>
                <w:rFonts w:ascii="Arial" w:hAnsi="Arial" w:cs="Arial"/>
              </w:rPr>
              <w:t>37</w:t>
            </w:r>
          </w:p>
        </w:tc>
        <w:tc>
          <w:tcPr>
            <w:tcW w:w="1012" w:type="dxa"/>
            <w:tcBorders>
              <w:top w:val="nil"/>
              <w:left w:val="nil"/>
              <w:bottom w:val="single" w:sz="4" w:space="0" w:color="auto"/>
              <w:right w:val="single" w:sz="4" w:space="0" w:color="auto"/>
            </w:tcBorders>
            <w:shd w:val="clear" w:color="auto" w:fill="auto"/>
            <w:vAlign w:val="center"/>
            <w:hideMark/>
          </w:tcPr>
          <w:p w14:paraId="4C120181" w14:textId="77777777" w:rsidR="00A117A7" w:rsidRDefault="00A117A7" w:rsidP="00A117A7">
            <w:pPr>
              <w:spacing w:line="240" w:lineRule="auto"/>
              <w:jc w:val="center"/>
              <w:rPr>
                <w:rFonts w:ascii="Arial" w:hAnsi="Arial" w:cs="Arial"/>
                <w:sz w:val="24"/>
                <w:szCs w:val="24"/>
              </w:rPr>
            </w:pPr>
            <w:r>
              <w:rPr>
                <w:rFonts w:ascii="Arial" w:hAnsi="Arial" w:cs="Arial"/>
              </w:rPr>
              <w:t>4</w:t>
            </w:r>
          </w:p>
        </w:tc>
        <w:tc>
          <w:tcPr>
            <w:tcW w:w="1114" w:type="dxa"/>
            <w:tcBorders>
              <w:top w:val="nil"/>
              <w:left w:val="nil"/>
              <w:bottom w:val="single" w:sz="4" w:space="0" w:color="auto"/>
              <w:right w:val="single" w:sz="4" w:space="0" w:color="auto"/>
            </w:tcBorders>
            <w:shd w:val="clear" w:color="auto" w:fill="auto"/>
            <w:vAlign w:val="center"/>
            <w:hideMark/>
          </w:tcPr>
          <w:p w14:paraId="69D0881B" w14:textId="77777777" w:rsidR="00A117A7" w:rsidRDefault="00A117A7" w:rsidP="00A117A7">
            <w:pPr>
              <w:spacing w:line="240" w:lineRule="auto"/>
              <w:jc w:val="center"/>
              <w:rPr>
                <w:rFonts w:ascii="Arial" w:hAnsi="Arial" w:cs="Arial"/>
                <w:sz w:val="24"/>
                <w:szCs w:val="24"/>
              </w:rPr>
            </w:pPr>
            <w:r>
              <w:rPr>
                <w:rFonts w:ascii="Arial" w:hAnsi="Arial" w:cs="Arial"/>
              </w:rPr>
              <w:t>15</w:t>
            </w:r>
          </w:p>
        </w:tc>
        <w:tc>
          <w:tcPr>
            <w:tcW w:w="1134" w:type="dxa"/>
            <w:tcBorders>
              <w:top w:val="nil"/>
              <w:left w:val="nil"/>
              <w:bottom w:val="single" w:sz="4" w:space="0" w:color="auto"/>
              <w:right w:val="single" w:sz="4" w:space="0" w:color="auto"/>
            </w:tcBorders>
            <w:shd w:val="clear" w:color="auto" w:fill="auto"/>
            <w:vAlign w:val="center"/>
            <w:hideMark/>
          </w:tcPr>
          <w:p w14:paraId="00025046" w14:textId="77777777" w:rsidR="00A117A7" w:rsidRDefault="00A117A7" w:rsidP="00D51581">
            <w:pPr>
              <w:spacing w:line="240" w:lineRule="auto"/>
              <w:jc w:val="center"/>
              <w:rPr>
                <w:rFonts w:ascii="Arial" w:hAnsi="Arial" w:cs="Arial"/>
                <w:sz w:val="24"/>
                <w:szCs w:val="24"/>
              </w:rPr>
            </w:pPr>
            <w:r>
              <w:rPr>
                <w:rFonts w:ascii="Arial" w:hAnsi="Arial" w:cs="Arial"/>
              </w:rPr>
              <w:t>1</w:t>
            </w:r>
            <w:r w:rsidR="00D51581">
              <w:rPr>
                <w:rFonts w:ascii="Arial" w:hAnsi="Arial" w:cs="Arial"/>
              </w:rPr>
              <w:t>2</w:t>
            </w:r>
          </w:p>
        </w:tc>
        <w:tc>
          <w:tcPr>
            <w:tcW w:w="1134" w:type="dxa"/>
            <w:tcBorders>
              <w:top w:val="nil"/>
              <w:left w:val="nil"/>
              <w:bottom w:val="single" w:sz="4" w:space="0" w:color="auto"/>
              <w:right w:val="single" w:sz="4" w:space="0" w:color="auto"/>
            </w:tcBorders>
            <w:shd w:val="clear" w:color="auto" w:fill="auto"/>
            <w:vAlign w:val="center"/>
            <w:hideMark/>
          </w:tcPr>
          <w:p w14:paraId="73CE4673" w14:textId="77777777" w:rsidR="00A117A7" w:rsidRDefault="00A117A7" w:rsidP="00A117A7">
            <w:pPr>
              <w:spacing w:line="240" w:lineRule="auto"/>
              <w:jc w:val="center"/>
              <w:rPr>
                <w:rFonts w:ascii="Arial" w:hAnsi="Arial" w:cs="Arial"/>
                <w:sz w:val="24"/>
                <w:szCs w:val="24"/>
              </w:rPr>
            </w:pPr>
            <w:r>
              <w:rPr>
                <w:rFonts w:ascii="Arial" w:hAnsi="Arial" w:cs="Arial"/>
              </w:rPr>
              <w:t>21</w:t>
            </w:r>
          </w:p>
        </w:tc>
        <w:tc>
          <w:tcPr>
            <w:tcW w:w="1084" w:type="dxa"/>
            <w:tcBorders>
              <w:top w:val="nil"/>
              <w:left w:val="nil"/>
              <w:bottom w:val="single" w:sz="4" w:space="0" w:color="auto"/>
              <w:right w:val="single" w:sz="4" w:space="0" w:color="auto"/>
            </w:tcBorders>
            <w:shd w:val="clear" w:color="auto" w:fill="auto"/>
            <w:vAlign w:val="center"/>
            <w:hideMark/>
          </w:tcPr>
          <w:p w14:paraId="4B718C62" w14:textId="77777777" w:rsidR="00A117A7" w:rsidRDefault="00D51581" w:rsidP="00A117A7">
            <w:pPr>
              <w:spacing w:line="240" w:lineRule="auto"/>
              <w:jc w:val="center"/>
              <w:rPr>
                <w:rFonts w:ascii="Arial" w:hAnsi="Arial" w:cs="Arial"/>
                <w:sz w:val="24"/>
                <w:szCs w:val="24"/>
              </w:rPr>
            </w:pPr>
            <w:r>
              <w:rPr>
                <w:rFonts w:ascii="Arial" w:hAnsi="Arial" w:cs="Arial"/>
              </w:rPr>
              <w:t>52</w:t>
            </w:r>
          </w:p>
        </w:tc>
      </w:tr>
      <w:tr w:rsidR="00A117A7" w:rsidRPr="008B79B3" w14:paraId="0273012C" w14:textId="77777777" w:rsidTr="00BE0AED">
        <w:trPr>
          <w:trHeight w:val="687"/>
        </w:trPr>
        <w:tc>
          <w:tcPr>
            <w:tcW w:w="7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79716" w14:textId="77777777" w:rsidR="00A117A7" w:rsidRPr="008B79B3" w:rsidRDefault="00A117A7" w:rsidP="00A117A7">
            <w:pPr>
              <w:spacing w:after="0" w:line="240" w:lineRule="auto"/>
              <w:rPr>
                <w:rFonts w:ascii="Arial" w:eastAsia="Times New Roman" w:hAnsi="Arial" w:cs="Arial"/>
              </w:rPr>
            </w:pPr>
            <w:r w:rsidRPr="008B79B3">
              <w:rPr>
                <w:rFonts w:ascii="Arial" w:eastAsia="Times New Roman" w:hAnsi="Arial" w:cs="Arial"/>
              </w:rPr>
              <w:t xml:space="preserve">Total Number of reported deaths which were rejected following review, as not reportable or duplicated.  </w:t>
            </w:r>
          </w:p>
        </w:tc>
        <w:tc>
          <w:tcPr>
            <w:tcW w:w="1276" w:type="dxa"/>
            <w:tcBorders>
              <w:top w:val="nil"/>
              <w:left w:val="nil"/>
              <w:bottom w:val="single" w:sz="4" w:space="0" w:color="auto"/>
              <w:right w:val="single" w:sz="4" w:space="0" w:color="auto"/>
            </w:tcBorders>
            <w:shd w:val="clear" w:color="auto" w:fill="auto"/>
            <w:vAlign w:val="center"/>
            <w:hideMark/>
          </w:tcPr>
          <w:p w14:paraId="027BD514" w14:textId="77777777" w:rsidR="00A117A7" w:rsidRDefault="00A117A7" w:rsidP="00A117A7">
            <w:pPr>
              <w:spacing w:line="240" w:lineRule="auto"/>
              <w:jc w:val="center"/>
              <w:rPr>
                <w:rFonts w:ascii="Arial" w:hAnsi="Arial" w:cs="Arial"/>
                <w:sz w:val="24"/>
                <w:szCs w:val="24"/>
              </w:rPr>
            </w:pPr>
            <w:r>
              <w:rPr>
                <w:rFonts w:ascii="Arial" w:hAnsi="Arial" w:cs="Arial"/>
              </w:rPr>
              <w:t>33</w:t>
            </w:r>
          </w:p>
        </w:tc>
        <w:tc>
          <w:tcPr>
            <w:tcW w:w="1012" w:type="dxa"/>
            <w:tcBorders>
              <w:top w:val="nil"/>
              <w:left w:val="nil"/>
              <w:bottom w:val="single" w:sz="4" w:space="0" w:color="auto"/>
              <w:right w:val="single" w:sz="4" w:space="0" w:color="auto"/>
            </w:tcBorders>
            <w:shd w:val="clear" w:color="auto" w:fill="auto"/>
            <w:vAlign w:val="center"/>
            <w:hideMark/>
          </w:tcPr>
          <w:p w14:paraId="63AA0893" w14:textId="77777777" w:rsidR="00A117A7" w:rsidRDefault="00A117A7" w:rsidP="00A117A7">
            <w:pPr>
              <w:spacing w:line="240" w:lineRule="auto"/>
              <w:jc w:val="center"/>
              <w:rPr>
                <w:rFonts w:ascii="Arial" w:hAnsi="Arial" w:cs="Arial"/>
                <w:sz w:val="24"/>
                <w:szCs w:val="24"/>
              </w:rPr>
            </w:pPr>
            <w:r>
              <w:rPr>
                <w:rFonts w:ascii="Arial" w:hAnsi="Arial" w:cs="Arial"/>
              </w:rPr>
              <w:t>7</w:t>
            </w:r>
          </w:p>
        </w:tc>
        <w:tc>
          <w:tcPr>
            <w:tcW w:w="1114" w:type="dxa"/>
            <w:tcBorders>
              <w:top w:val="nil"/>
              <w:left w:val="nil"/>
              <w:bottom w:val="single" w:sz="4" w:space="0" w:color="auto"/>
              <w:right w:val="single" w:sz="4" w:space="0" w:color="auto"/>
            </w:tcBorders>
            <w:shd w:val="clear" w:color="auto" w:fill="auto"/>
            <w:vAlign w:val="center"/>
            <w:hideMark/>
          </w:tcPr>
          <w:p w14:paraId="0D17E4F8" w14:textId="77777777" w:rsidR="00A117A7" w:rsidRDefault="00A117A7" w:rsidP="00A117A7">
            <w:pPr>
              <w:spacing w:line="240" w:lineRule="auto"/>
              <w:jc w:val="center"/>
              <w:rPr>
                <w:rFonts w:ascii="Arial" w:hAnsi="Arial" w:cs="Arial"/>
                <w:sz w:val="24"/>
                <w:szCs w:val="24"/>
              </w:rPr>
            </w:pPr>
            <w:r>
              <w:rPr>
                <w:rFonts w:ascii="Arial" w:hAnsi="Arial" w:cs="Arial"/>
              </w:rPr>
              <w:t>2</w:t>
            </w:r>
          </w:p>
        </w:tc>
        <w:tc>
          <w:tcPr>
            <w:tcW w:w="1134" w:type="dxa"/>
            <w:tcBorders>
              <w:top w:val="nil"/>
              <w:left w:val="nil"/>
              <w:bottom w:val="single" w:sz="4" w:space="0" w:color="auto"/>
              <w:right w:val="single" w:sz="4" w:space="0" w:color="auto"/>
            </w:tcBorders>
            <w:shd w:val="clear" w:color="auto" w:fill="auto"/>
            <w:vAlign w:val="center"/>
            <w:hideMark/>
          </w:tcPr>
          <w:p w14:paraId="68B7C858" w14:textId="77777777" w:rsidR="00A117A7" w:rsidRDefault="00A117A7" w:rsidP="00A117A7">
            <w:pPr>
              <w:spacing w:line="240" w:lineRule="auto"/>
              <w:jc w:val="center"/>
              <w:rPr>
                <w:rFonts w:ascii="Arial" w:hAnsi="Arial" w:cs="Arial"/>
                <w:sz w:val="24"/>
                <w:szCs w:val="24"/>
              </w:rPr>
            </w:pPr>
            <w:r>
              <w:rPr>
                <w:rFonts w:ascii="Arial" w:hAnsi="Arial" w:cs="Arial"/>
              </w:rPr>
              <w:t>3</w:t>
            </w:r>
          </w:p>
        </w:tc>
        <w:tc>
          <w:tcPr>
            <w:tcW w:w="1134" w:type="dxa"/>
            <w:tcBorders>
              <w:top w:val="nil"/>
              <w:left w:val="nil"/>
              <w:bottom w:val="single" w:sz="4" w:space="0" w:color="auto"/>
              <w:right w:val="single" w:sz="4" w:space="0" w:color="auto"/>
            </w:tcBorders>
            <w:shd w:val="clear" w:color="auto" w:fill="auto"/>
            <w:vAlign w:val="center"/>
            <w:hideMark/>
          </w:tcPr>
          <w:p w14:paraId="6D8DD865" w14:textId="77777777" w:rsidR="00A117A7" w:rsidRDefault="00A117A7" w:rsidP="00A117A7">
            <w:pPr>
              <w:spacing w:line="240" w:lineRule="auto"/>
              <w:jc w:val="center"/>
              <w:rPr>
                <w:rFonts w:ascii="Arial" w:hAnsi="Arial" w:cs="Arial"/>
                <w:sz w:val="24"/>
                <w:szCs w:val="24"/>
              </w:rPr>
            </w:pPr>
            <w:r>
              <w:rPr>
                <w:rFonts w:ascii="Arial" w:hAnsi="Arial" w:cs="Arial"/>
              </w:rPr>
              <w:t>5</w:t>
            </w:r>
          </w:p>
        </w:tc>
        <w:tc>
          <w:tcPr>
            <w:tcW w:w="1084" w:type="dxa"/>
            <w:tcBorders>
              <w:top w:val="nil"/>
              <w:left w:val="nil"/>
              <w:bottom w:val="single" w:sz="4" w:space="0" w:color="auto"/>
              <w:right w:val="single" w:sz="4" w:space="0" w:color="auto"/>
            </w:tcBorders>
            <w:shd w:val="clear" w:color="auto" w:fill="auto"/>
            <w:vAlign w:val="center"/>
            <w:hideMark/>
          </w:tcPr>
          <w:p w14:paraId="75B38144" w14:textId="77777777" w:rsidR="00A117A7" w:rsidRDefault="00A117A7" w:rsidP="00A117A7">
            <w:pPr>
              <w:spacing w:line="240" w:lineRule="auto"/>
              <w:jc w:val="center"/>
              <w:rPr>
                <w:rFonts w:ascii="Arial" w:hAnsi="Arial" w:cs="Arial"/>
                <w:sz w:val="24"/>
                <w:szCs w:val="24"/>
              </w:rPr>
            </w:pPr>
            <w:r>
              <w:rPr>
                <w:rFonts w:ascii="Arial" w:hAnsi="Arial" w:cs="Arial"/>
              </w:rPr>
              <w:t>17</w:t>
            </w:r>
          </w:p>
        </w:tc>
      </w:tr>
    </w:tbl>
    <w:p w14:paraId="1100A504" w14:textId="77777777" w:rsidR="008B79B3" w:rsidRDefault="008B79B3" w:rsidP="009567B7">
      <w:pPr>
        <w:spacing w:line="240" w:lineRule="auto"/>
        <w:ind w:right="-359"/>
        <w:rPr>
          <w:rFonts w:ascii="Arial" w:hAnsi="Arial" w:cs="Arial"/>
          <w:vertAlign w:val="superscript"/>
        </w:rPr>
      </w:pPr>
    </w:p>
    <w:p w14:paraId="60C74E7D" w14:textId="77777777" w:rsidR="009567B7" w:rsidRDefault="00D51581" w:rsidP="009567B7">
      <w:pPr>
        <w:spacing w:line="240" w:lineRule="auto"/>
        <w:ind w:right="-359"/>
        <w:rPr>
          <w:rFonts w:ascii="Arial" w:hAnsi="Arial" w:cs="Arial"/>
          <w:noProof/>
        </w:rPr>
      </w:pPr>
      <w:r>
        <w:rPr>
          <w:rFonts w:ascii="Arial" w:hAnsi="Arial" w:cs="Arial"/>
          <w:noProof/>
        </w:rPr>
        <w:t>*</w:t>
      </w:r>
      <w:r w:rsidR="009567B7" w:rsidRPr="00DC05FB">
        <w:rPr>
          <w:rFonts w:ascii="Arial" w:hAnsi="Arial" w:cs="Arial"/>
          <w:noProof/>
        </w:rPr>
        <w:t xml:space="preserve">Data extracted from Business Intelligence </w:t>
      </w:r>
      <w:r w:rsidR="00A117A7">
        <w:rPr>
          <w:rFonts w:ascii="Arial" w:hAnsi="Arial" w:cs="Arial"/>
          <w:noProof/>
        </w:rPr>
        <w:t xml:space="preserve">Dashboards </w:t>
      </w:r>
      <w:r w:rsidR="009567B7" w:rsidRPr="00DC05FB">
        <w:rPr>
          <w:rFonts w:ascii="Arial" w:hAnsi="Arial" w:cs="Arial"/>
          <w:noProof/>
        </w:rPr>
        <w:t>and Datix risk management systems. Data is refreshed each quarter so figures may differ from previous reports.     Data changes where records may have been amended or added within live systems. Dashboard format and content as agreed by Northern Alliance group</w:t>
      </w:r>
    </w:p>
    <w:p w14:paraId="591AFF8E" w14:textId="77777777" w:rsidR="00DC05FB" w:rsidRPr="00DC05FB" w:rsidRDefault="00DC05FB" w:rsidP="00DC05FB">
      <w:pPr>
        <w:spacing w:line="240" w:lineRule="auto"/>
        <w:ind w:right="-359"/>
        <w:rPr>
          <w:rFonts w:ascii="Arial" w:hAnsi="Arial" w:cs="Arial"/>
          <w:highlight w:val="yellow"/>
        </w:rPr>
      </w:pPr>
      <w:r w:rsidRPr="00DC05FB">
        <w:rPr>
          <w:rFonts w:ascii="Arial" w:hAnsi="Arial" w:cs="Arial"/>
        </w:rPr>
        <w:t>*</w:t>
      </w:r>
      <w:r w:rsidR="00A117A7">
        <w:rPr>
          <w:rFonts w:ascii="Arial" w:hAnsi="Arial" w:cs="Arial"/>
        </w:rPr>
        <w:t>* since the 2018/19</w:t>
      </w:r>
      <w:r w:rsidRPr="00DC05FB">
        <w:rPr>
          <w:rFonts w:ascii="Arial" w:hAnsi="Arial" w:cs="Arial"/>
        </w:rPr>
        <w:t xml:space="preserve"> figure was run, the data source is now solely from </w:t>
      </w:r>
      <w:r w:rsidR="00A117A7">
        <w:rPr>
          <w:rFonts w:ascii="Arial" w:hAnsi="Arial" w:cs="Arial"/>
        </w:rPr>
        <w:t xml:space="preserve">SystmOne, therefore figures </w:t>
      </w:r>
      <w:r w:rsidRPr="00DC05FB">
        <w:rPr>
          <w:rFonts w:ascii="Arial" w:hAnsi="Arial" w:cs="Arial"/>
        </w:rPr>
        <w:t>have increased due to improved flow of data</w:t>
      </w:r>
      <w:r w:rsidR="00A117A7">
        <w:rPr>
          <w:rFonts w:ascii="Arial" w:hAnsi="Arial" w:cs="Arial"/>
        </w:rPr>
        <w:t xml:space="preserve"> from the Spine</w:t>
      </w:r>
      <w:r w:rsidRPr="00DC05FB">
        <w:rPr>
          <w:rFonts w:ascii="Arial" w:hAnsi="Arial" w:cs="Arial"/>
        </w:rPr>
        <w:t xml:space="preserve">. </w:t>
      </w:r>
      <w:r w:rsidR="00A117A7">
        <w:rPr>
          <w:rFonts w:ascii="Arial" w:hAnsi="Arial" w:cs="Arial"/>
        </w:rPr>
        <w:t xml:space="preserve"> </w:t>
      </w:r>
      <w:r w:rsidRPr="00DC05FB">
        <w:rPr>
          <w:rFonts w:ascii="Arial" w:hAnsi="Arial" w:cs="Arial"/>
        </w:rPr>
        <w:t>For the purposes of this report and data contained in Quality Accounts</w:t>
      </w:r>
      <w:r w:rsidR="00E25185">
        <w:rPr>
          <w:rFonts w:ascii="Arial" w:hAnsi="Arial" w:cs="Arial"/>
        </w:rPr>
        <w:t>,</w:t>
      </w:r>
      <w:r w:rsidRPr="00DC05FB">
        <w:rPr>
          <w:rFonts w:ascii="Arial" w:hAnsi="Arial" w:cs="Arial"/>
        </w:rPr>
        <w:t xml:space="preserve"> the total for 2018/19 has not been refreshed.</w:t>
      </w:r>
    </w:p>
    <w:p w14:paraId="7BCAC4DF" w14:textId="77777777" w:rsidR="00DC05FB" w:rsidRPr="00DC05FB" w:rsidRDefault="00DC05FB" w:rsidP="009567B7">
      <w:pPr>
        <w:spacing w:line="240" w:lineRule="auto"/>
        <w:ind w:right="-359"/>
        <w:rPr>
          <w:rFonts w:ascii="Arial" w:hAnsi="Arial" w:cs="Arial"/>
          <w:noProof/>
        </w:rPr>
      </w:pPr>
    </w:p>
    <w:p w14:paraId="2CEF9A7F" w14:textId="77777777" w:rsidR="00DC05FB" w:rsidRDefault="00DC05FB">
      <w:pPr>
        <w:rPr>
          <w:rFonts w:ascii="Arial" w:hAnsi="Arial" w:cs="Arial"/>
          <w:noProof/>
        </w:rPr>
      </w:pPr>
      <w:r>
        <w:rPr>
          <w:rFonts w:ascii="Arial" w:hAnsi="Arial" w:cs="Arial"/>
          <w:noProof/>
        </w:rPr>
        <w:br w:type="page"/>
      </w:r>
    </w:p>
    <w:p w14:paraId="7F06BACC" w14:textId="77777777" w:rsidR="00DC05FB" w:rsidRPr="00CF0D7F" w:rsidRDefault="00DC05FB" w:rsidP="00DC05FB">
      <w:pPr>
        <w:spacing w:line="240" w:lineRule="auto"/>
        <w:ind w:right="-1732"/>
        <w:rPr>
          <w:rFonts w:ascii="Arial" w:hAnsi="Arial" w:cs="Arial"/>
          <w:b/>
          <w:noProof/>
        </w:rPr>
      </w:pPr>
      <w:r w:rsidRPr="00CF0D7F">
        <w:rPr>
          <w:rFonts w:ascii="Arial" w:hAnsi="Arial" w:cs="Arial"/>
          <w:b/>
          <w:noProof/>
        </w:rPr>
        <w:lastRenderedPageBreak/>
        <w:t xml:space="preserve">Table 2 Breakdown of the total number of deaths reviewed </w:t>
      </w:r>
      <w:r w:rsidR="00A117A7">
        <w:rPr>
          <w:rFonts w:ascii="Arial" w:hAnsi="Arial" w:cs="Arial"/>
          <w:b/>
          <w:noProof/>
        </w:rPr>
        <w:t xml:space="preserve">in 2019/20 </w:t>
      </w:r>
      <w:r w:rsidRPr="00CF0D7F">
        <w:rPr>
          <w:rFonts w:ascii="Arial" w:hAnsi="Arial" w:cs="Arial"/>
          <w:b/>
          <w:noProof/>
        </w:rPr>
        <w:t>by service ar</w:t>
      </w:r>
      <w:r w:rsidR="00A117A7">
        <w:rPr>
          <w:rFonts w:ascii="Arial" w:hAnsi="Arial" w:cs="Arial"/>
          <w:b/>
          <w:noProof/>
        </w:rPr>
        <w:t xml:space="preserve">ea by financial quarter </w:t>
      </w:r>
    </w:p>
    <w:tbl>
      <w:tblPr>
        <w:tblW w:w="14277" w:type="dxa"/>
        <w:tblInd w:w="93" w:type="dxa"/>
        <w:tblLayout w:type="fixed"/>
        <w:tblLook w:val="04A0" w:firstRow="1" w:lastRow="0" w:firstColumn="1" w:lastColumn="0" w:noHBand="0" w:noVBand="1"/>
      </w:tblPr>
      <w:tblGrid>
        <w:gridCol w:w="1584"/>
        <w:gridCol w:w="1584"/>
        <w:gridCol w:w="1587"/>
        <w:gridCol w:w="1587"/>
        <w:gridCol w:w="1587"/>
        <w:gridCol w:w="1587"/>
        <w:gridCol w:w="1587"/>
        <w:gridCol w:w="1587"/>
        <w:gridCol w:w="1587"/>
      </w:tblGrid>
      <w:tr w:rsidR="00D83151" w:rsidRPr="00BE0AED" w14:paraId="1DFB3790" w14:textId="77777777" w:rsidTr="00D83151">
        <w:trPr>
          <w:trHeight w:val="1244"/>
        </w:trPr>
        <w:tc>
          <w:tcPr>
            <w:tcW w:w="1584" w:type="dxa"/>
            <w:tcBorders>
              <w:top w:val="single" w:sz="4" w:space="0" w:color="auto"/>
              <w:left w:val="single" w:sz="4" w:space="0" w:color="auto"/>
              <w:bottom w:val="single" w:sz="4" w:space="0" w:color="auto"/>
              <w:right w:val="single" w:sz="4" w:space="0" w:color="auto"/>
            </w:tcBorders>
            <w:shd w:val="clear" w:color="000000" w:fill="B4C6E7"/>
          </w:tcPr>
          <w:p w14:paraId="40391AF2" w14:textId="77777777" w:rsidR="00D83151" w:rsidRPr="00BE0AED" w:rsidRDefault="00D83151" w:rsidP="00BE0AED">
            <w:pPr>
              <w:spacing w:after="0" w:line="240" w:lineRule="auto"/>
              <w:jc w:val="center"/>
              <w:rPr>
                <w:rFonts w:ascii="Arial" w:hAnsi="Arial" w:cs="Arial"/>
              </w:rPr>
            </w:pPr>
          </w:p>
        </w:tc>
        <w:tc>
          <w:tcPr>
            <w:tcW w:w="1584"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69CB930C" w14:textId="77777777" w:rsidR="00D83151" w:rsidRPr="00BE0AED" w:rsidRDefault="00D83151" w:rsidP="00BE0AED">
            <w:pPr>
              <w:spacing w:after="0" w:line="240" w:lineRule="auto"/>
              <w:jc w:val="center"/>
              <w:rPr>
                <w:rFonts w:ascii="Arial" w:hAnsi="Arial" w:cs="Arial"/>
              </w:rPr>
            </w:pPr>
            <w:r w:rsidRPr="00BE0AED">
              <w:rPr>
                <w:rFonts w:ascii="Arial" w:hAnsi="Arial" w:cs="Arial"/>
              </w:rPr>
              <w:t>Total Number of Deaths reviewed</w:t>
            </w:r>
          </w:p>
        </w:tc>
        <w:tc>
          <w:tcPr>
            <w:tcW w:w="1587" w:type="dxa"/>
            <w:tcBorders>
              <w:top w:val="single" w:sz="4" w:space="0" w:color="auto"/>
              <w:left w:val="nil"/>
              <w:bottom w:val="single" w:sz="4" w:space="0" w:color="auto"/>
              <w:right w:val="single" w:sz="4" w:space="0" w:color="auto"/>
            </w:tcBorders>
            <w:shd w:val="clear" w:color="000000" w:fill="B4C6E7"/>
            <w:vAlign w:val="center"/>
            <w:hideMark/>
          </w:tcPr>
          <w:p w14:paraId="41D52B18" w14:textId="77777777" w:rsidR="00D83151" w:rsidRPr="00BE0AED" w:rsidRDefault="00D83151" w:rsidP="00BE0AED">
            <w:pPr>
              <w:spacing w:after="0" w:line="240" w:lineRule="auto"/>
              <w:jc w:val="center"/>
              <w:rPr>
                <w:rFonts w:ascii="Arial" w:hAnsi="Arial" w:cs="Arial"/>
              </w:rPr>
            </w:pPr>
            <w:r w:rsidRPr="00BE0AED">
              <w:rPr>
                <w:rFonts w:ascii="Arial" w:hAnsi="Arial" w:cs="Arial"/>
              </w:rPr>
              <w:t>Mental Health Community</w:t>
            </w:r>
          </w:p>
        </w:tc>
        <w:tc>
          <w:tcPr>
            <w:tcW w:w="1587" w:type="dxa"/>
            <w:tcBorders>
              <w:top w:val="single" w:sz="4" w:space="0" w:color="auto"/>
              <w:left w:val="nil"/>
              <w:bottom w:val="single" w:sz="4" w:space="0" w:color="auto"/>
              <w:right w:val="single" w:sz="4" w:space="0" w:color="auto"/>
            </w:tcBorders>
            <w:shd w:val="clear" w:color="000000" w:fill="B4C6E7"/>
            <w:vAlign w:val="center"/>
            <w:hideMark/>
          </w:tcPr>
          <w:p w14:paraId="29E31B9A" w14:textId="77777777" w:rsidR="00D83151" w:rsidRPr="00BE0AED" w:rsidRDefault="00D83151" w:rsidP="00BE0AED">
            <w:pPr>
              <w:spacing w:after="0" w:line="240" w:lineRule="auto"/>
              <w:jc w:val="center"/>
              <w:rPr>
                <w:rFonts w:ascii="Arial" w:hAnsi="Arial" w:cs="Arial"/>
              </w:rPr>
            </w:pPr>
            <w:r w:rsidRPr="00BE0AED">
              <w:rPr>
                <w:rFonts w:ascii="Arial" w:hAnsi="Arial" w:cs="Arial"/>
              </w:rPr>
              <w:t>Mental Health Inpatient</w:t>
            </w:r>
          </w:p>
        </w:tc>
        <w:tc>
          <w:tcPr>
            <w:tcW w:w="1587" w:type="dxa"/>
            <w:tcBorders>
              <w:top w:val="single" w:sz="4" w:space="0" w:color="auto"/>
              <w:left w:val="nil"/>
              <w:bottom w:val="single" w:sz="4" w:space="0" w:color="auto"/>
              <w:right w:val="single" w:sz="4" w:space="0" w:color="auto"/>
            </w:tcBorders>
            <w:shd w:val="clear" w:color="000000" w:fill="B4C6E7"/>
            <w:vAlign w:val="center"/>
            <w:hideMark/>
          </w:tcPr>
          <w:p w14:paraId="08A69B4C" w14:textId="77777777" w:rsidR="00D83151" w:rsidRPr="00BE0AED" w:rsidRDefault="00D83151" w:rsidP="00BE0AED">
            <w:pPr>
              <w:spacing w:after="0" w:line="240" w:lineRule="auto"/>
              <w:jc w:val="center"/>
              <w:rPr>
                <w:rFonts w:ascii="Arial" w:hAnsi="Arial" w:cs="Arial"/>
              </w:rPr>
            </w:pPr>
            <w:r w:rsidRPr="00BE0AED">
              <w:rPr>
                <w:rFonts w:ascii="Arial" w:hAnsi="Arial" w:cs="Arial"/>
              </w:rPr>
              <w:t>General Community</w:t>
            </w:r>
          </w:p>
        </w:tc>
        <w:tc>
          <w:tcPr>
            <w:tcW w:w="1587" w:type="dxa"/>
            <w:tcBorders>
              <w:top w:val="single" w:sz="4" w:space="0" w:color="auto"/>
              <w:left w:val="nil"/>
              <w:bottom w:val="single" w:sz="4" w:space="0" w:color="auto"/>
              <w:right w:val="single" w:sz="4" w:space="0" w:color="auto"/>
            </w:tcBorders>
            <w:shd w:val="clear" w:color="000000" w:fill="B4C6E7"/>
            <w:vAlign w:val="center"/>
            <w:hideMark/>
          </w:tcPr>
          <w:p w14:paraId="7AA0567F" w14:textId="77777777" w:rsidR="00D83151" w:rsidRPr="00BE0AED" w:rsidRDefault="00D83151" w:rsidP="00BE0AED">
            <w:pPr>
              <w:spacing w:after="0" w:line="240" w:lineRule="auto"/>
              <w:jc w:val="center"/>
              <w:rPr>
                <w:rFonts w:ascii="Arial" w:hAnsi="Arial" w:cs="Arial"/>
              </w:rPr>
            </w:pPr>
            <w:r w:rsidRPr="00BE0AED">
              <w:rPr>
                <w:rFonts w:ascii="Arial" w:hAnsi="Arial" w:cs="Arial"/>
              </w:rPr>
              <w:t>General Community Inpatient</w:t>
            </w:r>
          </w:p>
        </w:tc>
        <w:tc>
          <w:tcPr>
            <w:tcW w:w="1587" w:type="dxa"/>
            <w:tcBorders>
              <w:top w:val="single" w:sz="4" w:space="0" w:color="auto"/>
              <w:left w:val="nil"/>
              <w:bottom w:val="single" w:sz="4" w:space="0" w:color="auto"/>
              <w:right w:val="single" w:sz="4" w:space="0" w:color="auto"/>
            </w:tcBorders>
            <w:shd w:val="clear" w:color="000000" w:fill="B4C6E7"/>
            <w:vAlign w:val="center"/>
            <w:hideMark/>
          </w:tcPr>
          <w:p w14:paraId="74234690" w14:textId="77777777" w:rsidR="00D83151" w:rsidRPr="00BE0AED" w:rsidRDefault="00D83151" w:rsidP="00BE0AED">
            <w:pPr>
              <w:spacing w:after="0" w:line="240" w:lineRule="auto"/>
              <w:jc w:val="center"/>
              <w:rPr>
                <w:rFonts w:ascii="Arial" w:hAnsi="Arial" w:cs="Arial"/>
              </w:rPr>
            </w:pPr>
            <w:r w:rsidRPr="00BE0AED">
              <w:rPr>
                <w:rFonts w:ascii="Arial" w:hAnsi="Arial" w:cs="Arial"/>
              </w:rPr>
              <w:t>Learning  Disability</w:t>
            </w:r>
          </w:p>
        </w:tc>
        <w:tc>
          <w:tcPr>
            <w:tcW w:w="1587" w:type="dxa"/>
            <w:tcBorders>
              <w:top w:val="single" w:sz="4" w:space="0" w:color="auto"/>
              <w:left w:val="nil"/>
              <w:bottom w:val="single" w:sz="4" w:space="0" w:color="auto"/>
              <w:right w:val="single" w:sz="4" w:space="0" w:color="auto"/>
            </w:tcBorders>
            <w:shd w:val="clear" w:color="000000" w:fill="B4C6E7"/>
            <w:vAlign w:val="center"/>
            <w:hideMark/>
          </w:tcPr>
          <w:p w14:paraId="0856E90B" w14:textId="77777777" w:rsidR="00D83151" w:rsidRPr="00BE0AED" w:rsidRDefault="00D83151" w:rsidP="00BE0AED">
            <w:pPr>
              <w:spacing w:after="0" w:line="240" w:lineRule="auto"/>
              <w:jc w:val="center"/>
              <w:rPr>
                <w:rFonts w:ascii="Arial" w:hAnsi="Arial" w:cs="Arial"/>
              </w:rPr>
            </w:pPr>
            <w:r w:rsidRPr="00BE0AED">
              <w:rPr>
                <w:rFonts w:ascii="Arial" w:hAnsi="Arial" w:cs="Arial"/>
              </w:rPr>
              <w:t>CAMHS</w:t>
            </w:r>
            <w:r>
              <w:rPr>
                <w:rFonts w:ascii="Arial" w:hAnsi="Arial" w:cs="Arial"/>
              </w:rPr>
              <w:t xml:space="preserve"> and ADHD</w:t>
            </w:r>
          </w:p>
        </w:tc>
        <w:tc>
          <w:tcPr>
            <w:tcW w:w="1587" w:type="dxa"/>
            <w:tcBorders>
              <w:top w:val="single" w:sz="4" w:space="0" w:color="auto"/>
              <w:left w:val="nil"/>
              <w:bottom w:val="single" w:sz="4" w:space="0" w:color="auto"/>
              <w:right w:val="single" w:sz="4" w:space="0" w:color="auto"/>
            </w:tcBorders>
            <w:shd w:val="clear" w:color="000000" w:fill="B4C6E7"/>
            <w:vAlign w:val="center"/>
          </w:tcPr>
          <w:p w14:paraId="0936FFAD" w14:textId="77777777" w:rsidR="00D83151" w:rsidRPr="00BE0AED" w:rsidRDefault="00D83151" w:rsidP="00BE0AED">
            <w:pPr>
              <w:spacing w:after="0" w:line="240" w:lineRule="auto"/>
              <w:jc w:val="center"/>
              <w:rPr>
                <w:rFonts w:ascii="Arial" w:hAnsi="Arial" w:cs="Arial"/>
              </w:rPr>
            </w:pPr>
            <w:r w:rsidRPr="00BE0AED">
              <w:rPr>
                <w:rFonts w:ascii="Arial" w:hAnsi="Arial" w:cs="Arial"/>
              </w:rPr>
              <w:t>Forensic Services</w:t>
            </w:r>
          </w:p>
        </w:tc>
      </w:tr>
      <w:tr w:rsidR="00D83151" w:rsidRPr="00BE0AED" w14:paraId="7404F248" w14:textId="77777777" w:rsidTr="00CA2CF2">
        <w:trPr>
          <w:trHeight w:val="402"/>
        </w:trPr>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498F4D21" w14:textId="77777777" w:rsidR="00D83151" w:rsidRPr="00BE0AED" w:rsidRDefault="00D83151" w:rsidP="00CA2CF2">
            <w:pPr>
              <w:spacing w:after="0" w:line="240" w:lineRule="auto"/>
              <w:rPr>
                <w:rFonts w:ascii="Arial" w:eastAsia="Times New Roman" w:hAnsi="Arial" w:cs="Arial"/>
                <w:b/>
                <w:bCs/>
                <w:color w:val="000000"/>
              </w:rPr>
            </w:pPr>
            <w:r>
              <w:rPr>
                <w:rFonts w:ascii="Arial" w:eastAsia="Times New Roman" w:hAnsi="Arial" w:cs="Arial"/>
                <w:b/>
                <w:bCs/>
                <w:color w:val="000000"/>
              </w:rPr>
              <w:t>Quarter 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EBF36" w14:textId="77777777" w:rsidR="00D83151" w:rsidRPr="00BE0AED" w:rsidRDefault="00D83151" w:rsidP="00BE0AED">
            <w:pPr>
              <w:spacing w:after="0" w:line="240" w:lineRule="auto"/>
              <w:jc w:val="center"/>
              <w:rPr>
                <w:rFonts w:ascii="Arial" w:hAnsi="Arial" w:cs="Arial"/>
                <w:b/>
                <w:bCs/>
              </w:rPr>
            </w:pPr>
            <w:r w:rsidRPr="00BE0AED">
              <w:rPr>
                <w:rFonts w:ascii="Arial" w:hAnsi="Arial" w:cs="Arial"/>
                <w:b/>
                <w:bCs/>
              </w:rPr>
              <w:t>63</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14:paraId="144A3464" w14:textId="77777777" w:rsidR="00D83151" w:rsidRPr="00BE0AED" w:rsidRDefault="00D83151" w:rsidP="00BE0AED">
            <w:pPr>
              <w:spacing w:after="0" w:line="240" w:lineRule="auto"/>
              <w:jc w:val="center"/>
              <w:rPr>
                <w:rFonts w:ascii="Arial" w:hAnsi="Arial" w:cs="Arial"/>
                <w:b/>
                <w:bCs/>
              </w:rPr>
            </w:pPr>
            <w:r w:rsidRPr="00BE0AED">
              <w:rPr>
                <w:rFonts w:ascii="Arial" w:hAnsi="Arial" w:cs="Arial"/>
                <w:b/>
                <w:bCs/>
              </w:rPr>
              <w:t>45</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14:paraId="7DC89586" w14:textId="77777777" w:rsidR="00D83151" w:rsidRPr="00BE0AED" w:rsidRDefault="00D83151" w:rsidP="00BE0AED">
            <w:pPr>
              <w:spacing w:after="0" w:line="240" w:lineRule="auto"/>
              <w:jc w:val="center"/>
              <w:rPr>
                <w:rFonts w:ascii="Arial" w:hAnsi="Arial" w:cs="Arial"/>
                <w:b/>
                <w:bCs/>
              </w:rPr>
            </w:pPr>
            <w:r w:rsidRPr="00BE0AED">
              <w:rPr>
                <w:rFonts w:ascii="Arial" w:hAnsi="Arial" w:cs="Arial"/>
                <w:b/>
                <w:bCs/>
              </w:rPr>
              <w:t>3</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14:paraId="131D3489" w14:textId="77777777" w:rsidR="00D83151" w:rsidRPr="00BE0AED" w:rsidRDefault="00D83151" w:rsidP="00BE0AED">
            <w:pPr>
              <w:spacing w:after="0" w:line="240" w:lineRule="auto"/>
              <w:jc w:val="center"/>
              <w:rPr>
                <w:rFonts w:ascii="Arial" w:hAnsi="Arial" w:cs="Arial"/>
                <w:b/>
                <w:bCs/>
              </w:rPr>
            </w:pPr>
            <w:r w:rsidRPr="00BE0AED">
              <w:rPr>
                <w:rFonts w:ascii="Arial" w:hAnsi="Arial" w:cs="Arial"/>
                <w:b/>
                <w:bCs/>
              </w:rPr>
              <w:t>3</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14:paraId="6275332D" w14:textId="77777777" w:rsidR="00D83151" w:rsidRPr="00BE0AED" w:rsidRDefault="00D83151" w:rsidP="00BE0AED">
            <w:pPr>
              <w:spacing w:after="0" w:line="240" w:lineRule="auto"/>
              <w:jc w:val="center"/>
              <w:rPr>
                <w:rFonts w:ascii="Arial" w:hAnsi="Arial" w:cs="Arial"/>
                <w:b/>
                <w:bCs/>
              </w:rPr>
            </w:pPr>
            <w:r w:rsidRPr="00BE0AED">
              <w:rPr>
                <w:rFonts w:ascii="Arial" w:hAnsi="Arial" w:cs="Arial"/>
                <w:b/>
                <w:bCs/>
              </w:rPr>
              <w:t>0</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14:paraId="45392328" w14:textId="77777777" w:rsidR="00D83151" w:rsidRPr="00BE0AED" w:rsidRDefault="00D83151" w:rsidP="00BE0AED">
            <w:pPr>
              <w:spacing w:after="0" w:line="240" w:lineRule="auto"/>
              <w:jc w:val="center"/>
              <w:rPr>
                <w:rFonts w:ascii="Arial" w:hAnsi="Arial" w:cs="Arial"/>
                <w:b/>
                <w:bCs/>
              </w:rPr>
            </w:pPr>
            <w:r w:rsidRPr="00BE0AED">
              <w:rPr>
                <w:rFonts w:ascii="Arial" w:hAnsi="Arial" w:cs="Arial"/>
                <w:b/>
                <w:bCs/>
              </w:rPr>
              <w:t>12</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14:paraId="3C069F41" w14:textId="77777777" w:rsidR="00D83151" w:rsidRPr="00BE0AED" w:rsidRDefault="00D83151" w:rsidP="00BE0AED">
            <w:pPr>
              <w:spacing w:after="0" w:line="240" w:lineRule="auto"/>
              <w:jc w:val="center"/>
              <w:rPr>
                <w:rFonts w:ascii="Arial" w:hAnsi="Arial" w:cs="Arial"/>
                <w:b/>
                <w:bCs/>
              </w:rPr>
            </w:pPr>
            <w:r w:rsidRPr="00BE0AED">
              <w:rPr>
                <w:rFonts w:ascii="Arial" w:hAnsi="Arial" w:cs="Arial"/>
                <w:b/>
                <w:bCs/>
              </w:rPr>
              <w:t>0</w:t>
            </w:r>
          </w:p>
        </w:tc>
        <w:tc>
          <w:tcPr>
            <w:tcW w:w="1587" w:type="dxa"/>
            <w:tcBorders>
              <w:top w:val="single" w:sz="4" w:space="0" w:color="auto"/>
              <w:left w:val="nil"/>
              <w:bottom w:val="single" w:sz="4" w:space="0" w:color="auto"/>
              <w:right w:val="single" w:sz="4" w:space="0" w:color="auto"/>
            </w:tcBorders>
            <w:shd w:val="clear" w:color="auto" w:fill="auto"/>
            <w:vAlign w:val="center"/>
          </w:tcPr>
          <w:p w14:paraId="651865C4" w14:textId="77777777" w:rsidR="00D83151" w:rsidRPr="00BE0AED" w:rsidRDefault="00D83151" w:rsidP="00BE0AED">
            <w:pPr>
              <w:spacing w:after="0" w:line="240" w:lineRule="auto"/>
              <w:jc w:val="center"/>
              <w:rPr>
                <w:rFonts w:ascii="Arial" w:hAnsi="Arial" w:cs="Arial"/>
                <w:b/>
                <w:bCs/>
              </w:rPr>
            </w:pPr>
            <w:r w:rsidRPr="00BE0AED">
              <w:rPr>
                <w:rFonts w:ascii="Arial" w:hAnsi="Arial" w:cs="Arial"/>
                <w:b/>
                <w:bCs/>
              </w:rPr>
              <w:t>0</w:t>
            </w:r>
          </w:p>
        </w:tc>
      </w:tr>
      <w:tr w:rsidR="00D83151" w:rsidRPr="00BE0AED" w14:paraId="1A1B5D44" w14:textId="77777777" w:rsidTr="00CA2CF2">
        <w:trPr>
          <w:trHeight w:val="402"/>
        </w:trPr>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7CCFAB70" w14:textId="77777777" w:rsidR="00D83151" w:rsidRPr="00BE0AED" w:rsidRDefault="00D83151" w:rsidP="00CA2CF2">
            <w:pPr>
              <w:spacing w:after="0" w:line="240" w:lineRule="auto"/>
              <w:rPr>
                <w:rFonts w:ascii="Arial" w:eastAsia="Times New Roman" w:hAnsi="Arial" w:cs="Arial"/>
                <w:b/>
                <w:bCs/>
                <w:color w:val="000000"/>
              </w:rPr>
            </w:pPr>
            <w:r>
              <w:rPr>
                <w:rFonts w:ascii="Arial" w:eastAsia="Times New Roman" w:hAnsi="Arial" w:cs="Arial"/>
                <w:b/>
                <w:bCs/>
                <w:color w:val="000000"/>
              </w:rPr>
              <w:t>Quarter 2</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0EE7C" w14:textId="77777777" w:rsidR="00D83151" w:rsidRPr="00BE0AED" w:rsidRDefault="00D83151" w:rsidP="00BE0AED">
            <w:pPr>
              <w:spacing w:after="0" w:line="240" w:lineRule="auto"/>
              <w:jc w:val="center"/>
              <w:rPr>
                <w:rFonts w:ascii="Arial" w:hAnsi="Arial" w:cs="Arial"/>
                <w:b/>
                <w:bCs/>
              </w:rPr>
            </w:pPr>
            <w:r w:rsidRPr="00BE0AED">
              <w:rPr>
                <w:rFonts w:ascii="Arial" w:hAnsi="Arial" w:cs="Arial"/>
                <w:b/>
                <w:bCs/>
              </w:rPr>
              <w:t>61</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14:paraId="46F9DC32" w14:textId="77777777" w:rsidR="00D83151" w:rsidRPr="00BE0AED" w:rsidRDefault="00D83151" w:rsidP="00BE0AED">
            <w:pPr>
              <w:spacing w:after="0" w:line="240" w:lineRule="auto"/>
              <w:jc w:val="center"/>
              <w:rPr>
                <w:rFonts w:ascii="Arial" w:hAnsi="Arial" w:cs="Arial"/>
                <w:b/>
                <w:bCs/>
              </w:rPr>
            </w:pPr>
            <w:r w:rsidRPr="00BE0AED">
              <w:rPr>
                <w:rFonts w:ascii="Arial" w:hAnsi="Arial" w:cs="Arial"/>
                <w:b/>
                <w:bCs/>
              </w:rPr>
              <w:t>40</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14:paraId="7A813923" w14:textId="77777777" w:rsidR="00D83151" w:rsidRPr="00BE0AED" w:rsidRDefault="00D83151" w:rsidP="00BE0AED">
            <w:pPr>
              <w:spacing w:after="0" w:line="240" w:lineRule="auto"/>
              <w:jc w:val="center"/>
              <w:rPr>
                <w:rFonts w:ascii="Arial" w:hAnsi="Arial" w:cs="Arial"/>
                <w:b/>
                <w:bCs/>
              </w:rPr>
            </w:pPr>
            <w:r w:rsidRPr="00BE0AED">
              <w:rPr>
                <w:rFonts w:ascii="Arial" w:hAnsi="Arial" w:cs="Arial"/>
                <w:b/>
                <w:bCs/>
              </w:rPr>
              <w:t>4</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14:paraId="4A79DEC9" w14:textId="77777777" w:rsidR="00D83151" w:rsidRPr="00BE0AED" w:rsidRDefault="00D83151" w:rsidP="00BE0AED">
            <w:pPr>
              <w:spacing w:after="0" w:line="240" w:lineRule="auto"/>
              <w:jc w:val="center"/>
              <w:rPr>
                <w:rFonts w:ascii="Arial" w:hAnsi="Arial" w:cs="Arial"/>
                <w:b/>
                <w:bCs/>
              </w:rPr>
            </w:pPr>
            <w:r w:rsidRPr="00BE0AED">
              <w:rPr>
                <w:rFonts w:ascii="Arial" w:hAnsi="Arial" w:cs="Arial"/>
                <w:b/>
                <w:bCs/>
              </w:rPr>
              <w:t>3</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14:paraId="4064B497" w14:textId="77777777" w:rsidR="00D83151" w:rsidRPr="00BE0AED" w:rsidRDefault="00D83151" w:rsidP="00BE0AED">
            <w:pPr>
              <w:spacing w:after="0" w:line="240" w:lineRule="auto"/>
              <w:jc w:val="center"/>
              <w:rPr>
                <w:rFonts w:ascii="Arial" w:hAnsi="Arial" w:cs="Arial"/>
                <w:b/>
                <w:bCs/>
              </w:rPr>
            </w:pPr>
            <w:r w:rsidRPr="00BE0AED">
              <w:rPr>
                <w:rFonts w:ascii="Arial" w:hAnsi="Arial" w:cs="Arial"/>
                <w:b/>
                <w:bCs/>
              </w:rPr>
              <w:t>0</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14:paraId="7270CA16" w14:textId="77777777" w:rsidR="00D83151" w:rsidRPr="00BE0AED" w:rsidRDefault="00D83151" w:rsidP="00BE0AED">
            <w:pPr>
              <w:spacing w:after="0" w:line="240" w:lineRule="auto"/>
              <w:jc w:val="center"/>
              <w:rPr>
                <w:rFonts w:ascii="Arial" w:hAnsi="Arial" w:cs="Arial"/>
                <w:b/>
                <w:bCs/>
              </w:rPr>
            </w:pPr>
            <w:r w:rsidRPr="00BE0AED">
              <w:rPr>
                <w:rFonts w:ascii="Arial" w:hAnsi="Arial" w:cs="Arial"/>
                <w:b/>
                <w:bCs/>
              </w:rPr>
              <w:t>14</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14:paraId="6C05A7E6" w14:textId="77777777" w:rsidR="00D83151" w:rsidRPr="00BE0AED" w:rsidRDefault="00D83151" w:rsidP="00BE0AED">
            <w:pPr>
              <w:spacing w:after="0" w:line="240" w:lineRule="auto"/>
              <w:jc w:val="center"/>
              <w:rPr>
                <w:rFonts w:ascii="Arial" w:hAnsi="Arial" w:cs="Arial"/>
                <w:b/>
                <w:bCs/>
              </w:rPr>
            </w:pPr>
            <w:r w:rsidRPr="00BE0AED">
              <w:rPr>
                <w:rFonts w:ascii="Arial" w:hAnsi="Arial" w:cs="Arial"/>
                <w:b/>
                <w:bCs/>
              </w:rPr>
              <w:t>0</w:t>
            </w:r>
          </w:p>
        </w:tc>
        <w:tc>
          <w:tcPr>
            <w:tcW w:w="1587" w:type="dxa"/>
            <w:tcBorders>
              <w:top w:val="single" w:sz="4" w:space="0" w:color="auto"/>
              <w:left w:val="nil"/>
              <w:bottom w:val="single" w:sz="4" w:space="0" w:color="auto"/>
              <w:right w:val="single" w:sz="4" w:space="0" w:color="auto"/>
            </w:tcBorders>
            <w:shd w:val="clear" w:color="auto" w:fill="auto"/>
            <w:vAlign w:val="center"/>
          </w:tcPr>
          <w:p w14:paraId="300710C7" w14:textId="77777777" w:rsidR="00D83151" w:rsidRPr="00BE0AED" w:rsidRDefault="00D83151" w:rsidP="00BE0AED">
            <w:pPr>
              <w:spacing w:after="0" w:line="240" w:lineRule="auto"/>
              <w:jc w:val="center"/>
              <w:rPr>
                <w:rFonts w:ascii="Arial" w:hAnsi="Arial" w:cs="Arial"/>
                <w:b/>
                <w:bCs/>
              </w:rPr>
            </w:pPr>
            <w:r w:rsidRPr="00BE0AED">
              <w:rPr>
                <w:rFonts w:ascii="Arial" w:hAnsi="Arial" w:cs="Arial"/>
                <w:b/>
                <w:bCs/>
              </w:rPr>
              <w:t>0</w:t>
            </w:r>
          </w:p>
        </w:tc>
      </w:tr>
      <w:tr w:rsidR="00D83151" w:rsidRPr="00BE0AED" w14:paraId="5CB07F28" w14:textId="77777777" w:rsidTr="00CA2CF2">
        <w:trPr>
          <w:trHeight w:val="402"/>
        </w:trPr>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26D5AB4F" w14:textId="77777777" w:rsidR="00D83151" w:rsidRPr="00BE0AED" w:rsidRDefault="00D83151" w:rsidP="00CA2CF2">
            <w:pPr>
              <w:spacing w:after="0" w:line="240" w:lineRule="auto"/>
              <w:rPr>
                <w:rFonts w:ascii="Arial" w:eastAsia="Times New Roman" w:hAnsi="Arial" w:cs="Arial"/>
                <w:b/>
                <w:bCs/>
                <w:color w:val="000000"/>
              </w:rPr>
            </w:pPr>
            <w:r>
              <w:rPr>
                <w:rFonts w:ascii="Arial" w:eastAsia="Times New Roman" w:hAnsi="Arial" w:cs="Arial"/>
                <w:b/>
                <w:bCs/>
                <w:color w:val="000000"/>
              </w:rPr>
              <w:t>Quarter 3</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9B29D" w14:textId="77777777" w:rsidR="00D83151" w:rsidRPr="00BE0AED" w:rsidRDefault="00D51581" w:rsidP="00BE0AED">
            <w:pPr>
              <w:spacing w:after="0" w:line="240" w:lineRule="auto"/>
              <w:jc w:val="center"/>
              <w:rPr>
                <w:rFonts w:ascii="Arial" w:hAnsi="Arial" w:cs="Arial"/>
                <w:b/>
                <w:bCs/>
              </w:rPr>
            </w:pPr>
            <w:r>
              <w:rPr>
                <w:rFonts w:ascii="Arial" w:hAnsi="Arial" w:cs="Arial"/>
                <w:b/>
                <w:bCs/>
              </w:rPr>
              <w:t>80</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14:paraId="6AE624B9" w14:textId="77777777" w:rsidR="00D83151" w:rsidRPr="00BE0AED" w:rsidRDefault="00D51581" w:rsidP="00BE0AED">
            <w:pPr>
              <w:spacing w:after="0" w:line="240" w:lineRule="auto"/>
              <w:jc w:val="center"/>
              <w:rPr>
                <w:rFonts w:ascii="Arial" w:hAnsi="Arial" w:cs="Arial"/>
                <w:b/>
                <w:bCs/>
              </w:rPr>
            </w:pPr>
            <w:r>
              <w:rPr>
                <w:rFonts w:ascii="Arial" w:hAnsi="Arial" w:cs="Arial"/>
                <w:b/>
                <w:bCs/>
              </w:rPr>
              <w:t>65</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14:paraId="1A1BB86F" w14:textId="77777777" w:rsidR="00D83151" w:rsidRPr="00BE0AED" w:rsidRDefault="00D83151" w:rsidP="00BE0AED">
            <w:pPr>
              <w:spacing w:after="0" w:line="240" w:lineRule="auto"/>
              <w:jc w:val="center"/>
              <w:rPr>
                <w:rFonts w:ascii="Arial" w:hAnsi="Arial" w:cs="Arial"/>
                <w:b/>
                <w:bCs/>
              </w:rPr>
            </w:pPr>
            <w:r w:rsidRPr="00BE0AED">
              <w:rPr>
                <w:rFonts w:ascii="Arial" w:hAnsi="Arial" w:cs="Arial"/>
                <w:b/>
                <w:bCs/>
              </w:rPr>
              <w:t>5</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14:paraId="347F2B1B" w14:textId="77777777" w:rsidR="00D83151" w:rsidRPr="00BE0AED" w:rsidRDefault="00D83151" w:rsidP="00BE0AED">
            <w:pPr>
              <w:spacing w:after="0" w:line="240" w:lineRule="auto"/>
              <w:jc w:val="center"/>
              <w:rPr>
                <w:rFonts w:ascii="Arial" w:hAnsi="Arial" w:cs="Arial"/>
                <w:b/>
                <w:bCs/>
              </w:rPr>
            </w:pPr>
            <w:r w:rsidRPr="00BE0AED">
              <w:rPr>
                <w:rFonts w:ascii="Arial" w:hAnsi="Arial" w:cs="Arial"/>
                <w:b/>
                <w:bCs/>
              </w:rPr>
              <w:t>0</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14:paraId="0DA567CE" w14:textId="77777777" w:rsidR="00D83151" w:rsidRPr="00BE0AED" w:rsidRDefault="00D83151" w:rsidP="00BE0AED">
            <w:pPr>
              <w:spacing w:after="0" w:line="240" w:lineRule="auto"/>
              <w:jc w:val="center"/>
              <w:rPr>
                <w:rFonts w:ascii="Arial" w:hAnsi="Arial" w:cs="Arial"/>
                <w:b/>
                <w:bCs/>
              </w:rPr>
            </w:pPr>
            <w:r w:rsidRPr="00BE0AED">
              <w:rPr>
                <w:rFonts w:ascii="Arial" w:hAnsi="Arial" w:cs="Arial"/>
                <w:b/>
                <w:bCs/>
              </w:rPr>
              <w:t>0</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14:paraId="1D8BF7C5" w14:textId="77777777" w:rsidR="00D83151" w:rsidRPr="00BE0AED" w:rsidRDefault="00D83151" w:rsidP="00BE0AED">
            <w:pPr>
              <w:spacing w:after="0" w:line="240" w:lineRule="auto"/>
              <w:jc w:val="center"/>
              <w:rPr>
                <w:rFonts w:ascii="Arial" w:hAnsi="Arial" w:cs="Arial"/>
                <w:b/>
                <w:bCs/>
              </w:rPr>
            </w:pPr>
            <w:r w:rsidRPr="00BE0AED">
              <w:rPr>
                <w:rFonts w:ascii="Arial" w:hAnsi="Arial" w:cs="Arial"/>
                <w:b/>
                <w:bCs/>
              </w:rPr>
              <w:t>9</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14:paraId="1DAD014F" w14:textId="77777777" w:rsidR="00D83151" w:rsidRPr="00BE0AED" w:rsidRDefault="00D83151" w:rsidP="00BE0AED">
            <w:pPr>
              <w:spacing w:after="0" w:line="240" w:lineRule="auto"/>
              <w:jc w:val="center"/>
              <w:rPr>
                <w:rFonts w:ascii="Arial" w:hAnsi="Arial" w:cs="Arial"/>
                <w:b/>
                <w:bCs/>
              </w:rPr>
            </w:pPr>
            <w:r w:rsidRPr="00BE0AED">
              <w:rPr>
                <w:rFonts w:ascii="Arial" w:hAnsi="Arial" w:cs="Arial"/>
                <w:b/>
                <w:bCs/>
              </w:rPr>
              <w:t>0</w:t>
            </w:r>
          </w:p>
        </w:tc>
        <w:tc>
          <w:tcPr>
            <w:tcW w:w="1587" w:type="dxa"/>
            <w:tcBorders>
              <w:top w:val="single" w:sz="4" w:space="0" w:color="auto"/>
              <w:left w:val="nil"/>
              <w:bottom w:val="single" w:sz="4" w:space="0" w:color="auto"/>
              <w:right w:val="single" w:sz="4" w:space="0" w:color="auto"/>
            </w:tcBorders>
            <w:shd w:val="clear" w:color="auto" w:fill="auto"/>
            <w:vAlign w:val="center"/>
          </w:tcPr>
          <w:p w14:paraId="1117E4C8" w14:textId="77777777" w:rsidR="00D83151" w:rsidRPr="00BE0AED" w:rsidRDefault="00D83151" w:rsidP="00BE0AED">
            <w:pPr>
              <w:spacing w:after="0" w:line="240" w:lineRule="auto"/>
              <w:jc w:val="center"/>
              <w:rPr>
                <w:rFonts w:ascii="Arial" w:hAnsi="Arial" w:cs="Arial"/>
                <w:b/>
                <w:bCs/>
              </w:rPr>
            </w:pPr>
            <w:r w:rsidRPr="00BE0AED">
              <w:rPr>
                <w:rFonts w:ascii="Arial" w:hAnsi="Arial" w:cs="Arial"/>
                <w:b/>
                <w:bCs/>
              </w:rPr>
              <w:t>1</w:t>
            </w:r>
          </w:p>
        </w:tc>
      </w:tr>
      <w:tr w:rsidR="00D83151" w:rsidRPr="00BE0AED" w14:paraId="4F3C99B4" w14:textId="77777777" w:rsidTr="00CA2CF2">
        <w:trPr>
          <w:trHeight w:val="402"/>
        </w:trPr>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7A0B0BB4" w14:textId="77777777" w:rsidR="00D83151" w:rsidRPr="00BE0AED" w:rsidRDefault="00D83151" w:rsidP="00CA2CF2">
            <w:pPr>
              <w:spacing w:after="0" w:line="240" w:lineRule="auto"/>
              <w:rPr>
                <w:rFonts w:ascii="Arial" w:eastAsia="Times New Roman" w:hAnsi="Arial" w:cs="Arial"/>
                <w:b/>
                <w:bCs/>
                <w:color w:val="000000"/>
              </w:rPr>
            </w:pPr>
            <w:r>
              <w:rPr>
                <w:rFonts w:ascii="Arial" w:eastAsia="Times New Roman" w:hAnsi="Arial" w:cs="Arial"/>
                <w:b/>
                <w:bCs/>
                <w:color w:val="000000"/>
              </w:rPr>
              <w:t>Quarter 4</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CE0FE" w14:textId="77777777" w:rsidR="00D83151" w:rsidRPr="00BE0AED" w:rsidRDefault="00D83151" w:rsidP="00BE0AED">
            <w:pPr>
              <w:spacing w:after="0" w:line="240" w:lineRule="auto"/>
              <w:jc w:val="center"/>
              <w:rPr>
                <w:rFonts w:ascii="Arial" w:hAnsi="Arial" w:cs="Arial"/>
                <w:b/>
                <w:bCs/>
              </w:rPr>
            </w:pPr>
            <w:r w:rsidRPr="00BE0AED">
              <w:rPr>
                <w:rFonts w:ascii="Arial" w:hAnsi="Arial" w:cs="Arial"/>
                <w:b/>
                <w:bCs/>
              </w:rPr>
              <w:t>82</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14:paraId="12E039A2" w14:textId="77777777" w:rsidR="00D83151" w:rsidRPr="00BE0AED" w:rsidRDefault="00D83151" w:rsidP="00BE0AED">
            <w:pPr>
              <w:spacing w:after="0" w:line="240" w:lineRule="auto"/>
              <w:jc w:val="center"/>
              <w:rPr>
                <w:rFonts w:ascii="Arial" w:hAnsi="Arial" w:cs="Arial"/>
                <w:b/>
                <w:bCs/>
              </w:rPr>
            </w:pPr>
            <w:r w:rsidRPr="00BE0AED">
              <w:rPr>
                <w:rFonts w:ascii="Arial" w:hAnsi="Arial" w:cs="Arial"/>
                <w:b/>
                <w:bCs/>
              </w:rPr>
              <w:t>61</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14:paraId="3F0FA8A9" w14:textId="77777777" w:rsidR="00D83151" w:rsidRPr="00BE0AED" w:rsidRDefault="00D83151" w:rsidP="00BE0AED">
            <w:pPr>
              <w:spacing w:after="0" w:line="240" w:lineRule="auto"/>
              <w:jc w:val="center"/>
              <w:rPr>
                <w:rFonts w:ascii="Arial" w:hAnsi="Arial" w:cs="Arial"/>
                <w:b/>
                <w:bCs/>
              </w:rPr>
            </w:pPr>
            <w:r w:rsidRPr="00BE0AED">
              <w:rPr>
                <w:rFonts w:ascii="Arial" w:hAnsi="Arial" w:cs="Arial"/>
                <w:b/>
                <w:bCs/>
              </w:rPr>
              <w:t>5</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14:paraId="56C626B2" w14:textId="77777777" w:rsidR="00D83151" w:rsidRPr="00BE0AED" w:rsidRDefault="00D83151" w:rsidP="00BE0AED">
            <w:pPr>
              <w:spacing w:after="0" w:line="240" w:lineRule="auto"/>
              <w:jc w:val="center"/>
              <w:rPr>
                <w:rFonts w:ascii="Arial" w:hAnsi="Arial" w:cs="Arial"/>
                <w:b/>
                <w:bCs/>
              </w:rPr>
            </w:pPr>
            <w:r w:rsidRPr="00BE0AED">
              <w:rPr>
                <w:rFonts w:ascii="Arial" w:hAnsi="Arial" w:cs="Arial"/>
                <w:b/>
                <w:bCs/>
              </w:rPr>
              <w:t>3</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14:paraId="0AC76990" w14:textId="77777777" w:rsidR="00D83151" w:rsidRPr="00BE0AED" w:rsidRDefault="00D83151" w:rsidP="00BE0AED">
            <w:pPr>
              <w:spacing w:after="0" w:line="240" w:lineRule="auto"/>
              <w:jc w:val="center"/>
              <w:rPr>
                <w:rFonts w:ascii="Arial" w:hAnsi="Arial" w:cs="Arial"/>
                <w:b/>
                <w:bCs/>
              </w:rPr>
            </w:pPr>
            <w:r w:rsidRPr="00BE0AED">
              <w:rPr>
                <w:rFonts w:ascii="Arial" w:hAnsi="Arial" w:cs="Arial"/>
                <w:b/>
                <w:bCs/>
              </w:rPr>
              <w:t>1</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14:paraId="1F296632" w14:textId="77777777" w:rsidR="00D83151" w:rsidRPr="00BE0AED" w:rsidRDefault="00D83151" w:rsidP="00BE0AED">
            <w:pPr>
              <w:spacing w:after="0" w:line="240" w:lineRule="auto"/>
              <w:jc w:val="center"/>
              <w:rPr>
                <w:rFonts w:ascii="Arial" w:hAnsi="Arial" w:cs="Arial"/>
                <w:b/>
                <w:bCs/>
              </w:rPr>
            </w:pPr>
            <w:r w:rsidRPr="00BE0AED">
              <w:rPr>
                <w:rFonts w:ascii="Arial" w:hAnsi="Arial" w:cs="Arial"/>
                <w:b/>
                <w:bCs/>
              </w:rPr>
              <w:t>11</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14:paraId="12425E70" w14:textId="77777777" w:rsidR="00D83151" w:rsidRPr="00BE0AED" w:rsidRDefault="00D83151" w:rsidP="00BE0AED">
            <w:pPr>
              <w:spacing w:after="0" w:line="240" w:lineRule="auto"/>
              <w:jc w:val="center"/>
              <w:rPr>
                <w:rFonts w:ascii="Arial" w:hAnsi="Arial" w:cs="Arial"/>
                <w:b/>
                <w:bCs/>
              </w:rPr>
            </w:pPr>
            <w:r w:rsidRPr="00BE0AED">
              <w:rPr>
                <w:rFonts w:ascii="Arial" w:hAnsi="Arial" w:cs="Arial"/>
                <w:b/>
                <w:bCs/>
              </w:rPr>
              <w:t>0</w:t>
            </w:r>
          </w:p>
        </w:tc>
        <w:tc>
          <w:tcPr>
            <w:tcW w:w="1587" w:type="dxa"/>
            <w:tcBorders>
              <w:top w:val="single" w:sz="4" w:space="0" w:color="auto"/>
              <w:left w:val="nil"/>
              <w:bottom w:val="single" w:sz="4" w:space="0" w:color="auto"/>
              <w:right w:val="single" w:sz="4" w:space="0" w:color="auto"/>
            </w:tcBorders>
            <w:shd w:val="clear" w:color="auto" w:fill="auto"/>
            <w:vAlign w:val="center"/>
          </w:tcPr>
          <w:p w14:paraId="172DB31A" w14:textId="77777777" w:rsidR="00D83151" w:rsidRPr="00BE0AED" w:rsidRDefault="00D83151" w:rsidP="00BE0AED">
            <w:pPr>
              <w:spacing w:after="0" w:line="240" w:lineRule="auto"/>
              <w:jc w:val="center"/>
              <w:rPr>
                <w:rFonts w:ascii="Arial" w:hAnsi="Arial" w:cs="Arial"/>
                <w:b/>
                <w:bCs/>
              </w:rPr>
            </w:pPr>
            <w:r w:rsidRPr="00BE0AED">
              <w:rPr>
                <w:rFonts w:ascii="Arial" w:hAnsi="Arial" w:cs="Arial"/>
                <w:b/>
                <w:bCs/>
              </w:rPr>
              <w:t>1</w:t>
            </w:r>
          </w:p>
        </w:tc>
      </w:tr>
      <w:tr w:rsidR="00D83151" w:rsidRPr="00BE0AED" w14:paraId="55DFAB26" w14:textId="77777777" w:rsidTr="00CA2CF2">
        <w:trPr>
          <w:trHeight w:val="402"/>
        </w:trPr>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62E15D23" w14:textId="77777777" w:rsidR="00D83151" w:rsidRPr="00BE0AED" w:rsidRDefault="00D83151" w:rsidP="00CA2CF2">
            <w:pPr>
              <w:spacing w:after="0" w:line="240" w:lineRule="auto"/>
              <w:rPr>
                <w:rFonts w:ascii="Arial" w:eastAsia="Times New Roman" w:hAnsi="Arial" w:cs="Arial"/>
                <w:b/>
                <w:bCs/>
                <w:color w:val="000000"/>
              </w:rPr>
            </w:pPr>
            <w:r>
              <w:rPr>
                <w:rFonts w:ascii="Arial" w:eastAsia="Times New Roman" w:hAnsi="Arial" w:cs="Arial"/>
                <w:b/>
                <w:bCs/>
                <w:color w:val="000000"/>
              </w:rPr>
              <w:t>Year total</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F043E" w14:textId="77777777" w:rsidR="00D83151" w:rsidRPr="00BE0AED" w:rsidRDefault="00CA2CF2" w:rsidP="00BE0AED">
            <w:pPr>
              <w:spacing w:after="0" w:line="240" w:lineRule="auto"/>
              <w:jc w:val="center"/>
              <w:rPr>
                <w:rFonts w:ascii="Arial" w:hAnsi="Arial" w:cs="Arial"/>
                <w:b/>
                <w:bCs/>
              </w:rPr>
            </w:pPr>
            <w:r>
              <w:rPr>
                <w:rFonts w:ascii="Arial" w:hAnsi="Arial" w:cs="Arial"/>
                <w:b/>
                <w:bCs/>
              </w:rPr>
              <w:t>286</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14:paraId="0D12BA62" w14:textId="77777777" w:rsidR="00D83151" w:rsidRPr="00BE0AED" w:rsidRDefault="00CA2CF2" w:rsidP="00BE0AED">
            <w:pPr>
              <w:spacing w:after="0" w:line="240" w:lineRule="auto"/>
              <w:jc w:val="center"/>
              <w:rPr>
                <w:rFonts w:ascii="Arial" w:hAnsi="Arial" w:cs="Arial"/>
                <w:b/>
                <w:bCs/>
              </w:rPr>
            </w:pPr>
            <w:r>
              <w:rPr>
                <w:rFonts w:ascii="Arial" w:hAnsi="Arial" w:cs="Arial"/>
                <w:b/>
                <w:bCs/>
              </w:rPr>
              <w:t>211</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14:paraId="2284FED2" w14:textId="77777777" w:rsidR="00D83151" w:rsidRPr="00BE0AED" w:rsidRDefault="00D83151" w:rsidP="00BE0AED">
            <w:pPr>
              <w:spacing w:after="0" w:line="240" w:lineRule="auto"/>
              <w:jc w:val="center"/>
              <w:rPr>
                <w:rFonts w:ascii="Arial" w:hAnsi="Arial" w:cs="Arial"/>
                <w:b/>
                <w:bCs/>
              </w:rPr>
            </w:pPr>
            <w:r w:rsidRPr="00BE0AED">
              <w:rPr>
                <w:rFonts w:ascii="Arial" w:hAnsi="Arial" w:cs="Arial"/>
                <w:b/>
                <w:bCs/>
              </w:rPr>
              <w:t>17</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14:paraId="63308120" w14:textId="77777777" w:rsidR="00D83151" w:rsidRPr="00BE0AED" w:rsidRDefault="00D83151" w:rsidP="00BE0AED">
            <w:pPr>
              <w:spacing w:after="0" w:line="240" w:lineRule="auto"/>
              <w:jc w:val="center"/>
              <w:rPr>
                <w:rFonts w:ascii="Arial" w:hAnsi="Arial" w:cs="Arial"/>
                <w:b/>
                <w:bCs/>
              </w:rPr>
            </w:pPr>
            <w:r w:rsidRPr="00BE0AED">
              <w:rPr>
                <w:rFonts w:ascii="Arial" w:hAnsi="Arial" w:cs="Arial"/>
                <w:b/>
                <w:bCs/>
              </w:rPr>
              <w:t>9</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14:paraId="56D6835D" w14:textId="77777777" w:rsidR="00D83151" w:rsidRPr="00BE0AED" w:rsidRDefault="00D83151" w:rsidP="00BE0AED">
            <w:pPr>
              <w:spacing w:after="0" w:line="240" w:lineRule="auto"/>
              <w:jc w:val="center"/>
              <w:rPr>
                <w:rFonts w:ascii="Arial" w:hAnsi="Arial" w:cs="Arial"/>
                <w:b/>
                <w:bCs/>
              </w:rPr>
            </w:pPr>
            <w:r w:rsidRPr="00BE0AED">
              <w:rPr>
                <w:rFonts w:ascii="Arial" w:hAnsi="Arial" w:cs="Arial"/>
                <w:b/>
                <w:bCs/>
              </w:rPr>
              <w:t>1</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14:paraId="7E7A5F59" w14:textId="77777777" w:rsidR="00D83151" w:rsidRPr="00BE0AED" w:rsidRDefault="00D83151" w:rsidP="00BE0AED">
            <w:pPr>
              <w:spacing w:after="0" w:line="240" w:lineRule="auto"/>
              <w:jc w:val="center"/>
              <w:rPr>
                <w:rFonts w:ascii="Arial" w:hAnsi="Arial" w:cs="Arial"/>
                <w:b/>
                <w:bCs/>
              </w:rPr>
            </w:pPr>
            <w:r w:rsidRPr="00BE0AED">
              <w:rPr>
                <w:rFonts w:ascii="Arial" w:hAnsi="Arial" w:cs="Arial"/>
                <w:b/>
                <w:bCs/>
              </w:rPr>
              <w:t>46</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14:paraId="37A8CDFF" w14:textId="77777777" w:rsidR="00D83151" w:rsidRPr="00BE0AED" w:rsidRDefault="00D83151" w:rsidP="00BE0AED">
            <w:pPr>
              <w:spacing w:after="0" w:line="240" w:lineRule="auto"/>
              <w:jc w:val="center"/>
              <w:rPr>
                <w:rFonts w:ascii="Arial" w:hAnsi="Arial" w:cs="Arial"/>
                <w:b/>
                <w:bCs/>
              </w:rPr>
            </w:pPr>
            <w:r w:rsidRPr="00BE0AED">
              <w:rPr>
                <w:rFonts w:ascii="Arial" w:hAnsi="Arial" w:cs="Arial"/>
                <w:b/>
                <w:bCs/>
              </w:rPr>
              <w:t>0</w:t>
            </w:r>
          </w:p>
        </w:tc>
        <w:tc>
          <w:tcPr>
            <w:tcW w:w="1587" w:type="dxa"/>
            <w:tcBorders>
              <w:top w:val="single" w:sz="4" w:space="0" w:color="auto"/>
              <w:left w:val="nil"/>
              <w:bottom w:val="single" w:sz="4" w:space="0" w:color="auto"/>
              <w:right w:val="single" w:sz="4" w:space="0" w:color="auto"/>
            </w:tcBorders>
            <w:shd w:val="clear" w:color="auto" w:fill="auto"/>
            <w:vAlign w:val="center"/>
          </w:tcPr>
          <w:p w14:paraId="61F3826E" w14:textId="77777777" w:rsidR="00D83151" w:rsidRPr="00BE0AED" w:rsidRDefault="00D83151" w:rsidP="00BE0AED">
            <w:pPr>
              <w:spacing w:after="0" w:line="240" w:lineRule="auto"/>
              <w:jc w:val="center"/>
              <w:rPr>
                <w:rFonts w:ascii="Arial" w:hAnsi="Arial" w:cs="Arial"/>
                <w:b/>
                <w:bCs/>
              </w:rPr>
            </w:pPr>
            <w:r w:rsidRPr="00BE0AED">
              <w:rPr>
                <w:rFonts w:ascii="Arial" w:hAnsi="Arial" w:cs="Arial"/>
                <w:b/>
                <w:bCs/>
              </w:rPr>
              <w:t>2</w:t>
            </w:r>
          </w:p>
        </w:tc>
      </w:tr>
    </w:tbl>
    <w:p w14:paraId="00B5ADF2" w14:textId="77777777" w:rsidR="009567B7" w:rsidRDefault="009567B7" w:rsidP="009567B7">
      <w:pPr>
        <w:spacing w:line="240" w:lineRule="auto"/>
        <w:ind w:right="-1732"/>
        <w:rPr>
          <w:rFonts w:ascii="Arial" w:hAnsi="Arial" w:cs="Arial"/>
          <w:noProof/>
          <w:highlight w:val="yellow"/>
        </w:rPr>
      </w:pPr>
    </w:p>
    <w:p w14:paraId="54DEC7EC" w14:textId="77777777" w:rsidR="00521B6A" w:rsidRDefault="00521B6A" w:rsidP="009567B7">
      <w:pPr>
        <w:spacing w:line="240" w:lineRule="auto"/>
        <w:ind w:right="-1732"/>
        <w:rPr>
          <w:rFonts w:ascii="Arial" w:hAnsi="Arial" w:cs="Arial"/>
          <w:b/>
          <w:noProof/>
        </w:rPr>
      </w:pPr>
    </w:p>
    <w:tbl>
      <w:tblPr>
        <w:tblW w:w="14332" w:type="dxa"/>
        <w:tblInd w:w="93" w:type="dxa"/>
        <w:tblLook w:val="04A0" w:firstRow="1" w:lastRow="0" w:firstColumn="1" w:lastColumn="0" w:noHBand="0" w:noVBand="1"/>
      </w:tblPr>
      <w:tblGrid>
        <w:gridCol w:w="1575"/>
        <w:gridCol w:w="1559"/>
        <w:gridCol w:w="1559"/>
        <w:gridCol w:w="1549"/>
        <w:gridCol w:w="1711"/>
        <w:gridCol w:w="1560"/>
        <w:gridCol w:w="1559"/>
        <w:gridCol w:w="1559"/>
        <w:gridCol w:w="1701"/>
      </w:tblGrid>
      <w:tr w:rsidR="00D92B01" w:rsidRPr="00D92B01" w14:paraId="7CE7D148" w14:textId="77777777" w:rsidTr="00D92B01">
        <w:trPr>
          <w:trHeight w:val="300"/>
        </w:trPr>
        <w:tc>
          <w:tcPr>
            <w:tcW w:w="1575" w:type="dxa"/>
            <w:vMerge w:val="restart"/>
            <w:tcBorders>
              <w:top w:val="single" w:sz="4" w:space="0" w:color="000000"/>
              <w:left w:val="single" w:sz="4" w:space="0" w:color="000000"/>
              <w:right w:val="single" w:sz="4" w:space="0" w:color="000000"/>
            </w:tcBorders>
            <w:shd w:val="clear" w:color="auto" w:fill="auto"/>
            <w:noWrap/>
          </w:tcPr>
          <w:p w14:paraId="01A88C9E"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Financial quarter</w:t>
            </w:r>
          </w:p>
        </w:tc>
        <w:tc>
          <w:tcPr>
            <w:tcW w:w="1559" w:type="dxa"/>
            <w:tcBorders>
              <w:top w:val="single" w:sz="4" w:space="0" w:color="000000"/>
              <w:left w:val="nil"/>
              <w:bottom w:val="single" w:sz="4" w:space="0" w:color="000000"/>
              <w:right w:val="single" w:sz="4" w:space="0" w:color="000000"/>
            </w:tcBorders>
            <w:shd w:val="clear" w:color="auto" w:fill="95B3D7" w:themeFill="accent1" w:themeFillTint="99"/>
            <w:noWrap/>
          </w:tcPr>
          <w:p w14:paraId="3A274D36"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Level 1</w:t>
            </w:r>
          </w:p>
        </w:tc>
        <w:tc>
          <w:tcPr>
            <w:tcW w:w="3108" w:type="dxa"/>
            <w:gridSpan w:val="2"/>
            <w:tcBorders>
              <w:top w:val="single" w:sz="4" w:space="0" w:color="000000"/>
              <w:left w:val="nil"/>
              <w:bottom w:val="single" w:sz="4" w:space="0" w:color="000000"/>
              <w:right w:val="single" w:sz="4" w:space="0" w:color="000000"/>
            </w:tcBorders>
            <w:shd w:val="clear" w:color="auto" w:fill="D99594" w:themeFill="accent2" w:themeFillTint="99"/>
            <w:noWrap/>
          </w:tcPr>
          <w:p w14:paraId="10C9D2DC"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Level 2</w:t>
            </w:r>
          </w:p>
        </w:tc>
        <w:tc>
          <w:tcPr>
            <w:tcW w:w="6389" w:type="dxa"/>
            <w:gridSpan w:val="4"/>
            <w:tcBorders>
              <w:top w:val="single" w:sz="4" w:space="0" w:color="000000"/>
              <w:left w:val="nil"/>
              <w:bottom w:val="single" w:sz="4" w:space="0" w:color="000000"/>
              <w:right w:val="single" w:sz="4" w:space="0" w:color="000000"/>
            </w:tcBorders>
            <w:shd w:val="clear" w:color="auto" w:fill="C2D69B" w:themeFill="accent3" w:themeFillTint="99"/>
            <w:noWrap/>
          </w:tcPr>
          <w:p w14:paraId="29AAF061"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Level 3</w:t>
            </w:r>
          </w:p>
        </w:tc>
        <w:tc>
          <w:tcPr>
            <w:tcW w:w="1701" w:type="dxa"/>
            <w:tcBorders>
              <w:top w:val="single" w:sz="4" w:space="0" w:color="000000"/>
              <w:left w:val="nil"/>
              <w:right w:val="single" w:sz="4" w:space="0" w:color="000000"/>
            </w:tcBorders>
            <w:shd w:val="clear" w:color="auto" w:fill="auto"/>
            <w:noWrap/>
          </w:tcPr>
          <w:p w14:paraId="1DD48465"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Total</w:t>
            </w:r>
          </w:p>
        </w:tc>
      </w:tr>
      <w:tr w:rsidR="00D92B01" w:rsidRPr="00D92B01" w14:paraId="0ADB4510" w14:textId="77777777" w:rsidTr="00D92B01">
        <w:trPr>
          <w:trHeight w:val="300"/>
        </w:trPr>
        <w:tc>
          <w:tcPr>
            <w:tcW w:w="1575" w:type="dxa"/>
            <w:vMerge/>
            <w:tcBorders>
              <w:left w:val="single" w:sz="4" w:space="0" w:color="000000"/>
              <w:bottom w:val="single" w:sz="4" w:space="0" w:color="000000"/>
              <w:right w:val="single" w:sz="4" w:space="0" w:color="000000"/>
            </w:tcBorders>
            <w:shd w:val="clear" w:color="auto" w:fill="auto"/>
            <w:noWrap/>
            <w:hideMark/>
          </w:tcPr>
          <w:p w14:paraId="6454B901" w14:textId="77777777" w:rsidR="00D92B01" w:rsidRPr="00D92B01" w:rsidRDefault="00D92B01" w:rsidP="00324557">
            <w:pPr>
              <w:jc w:val="center"/>
              <w:rPr>
                <w:rFonts w:ascii="Arial" w:eastAsia="Times New Roman" w:hAnsi="Arial" w:cs="Arial"/>
                <w:bCs/>
                <w:color w:val="000000"/>
                <w:sz w:val="20"/>
                <w:szCs w:val="20"/>
              </w:rPr>
            </w:pPr>
          </w:p>
        </w:tc>
        <w:tc>
          <w:tcPr>
            <w:tcW w:w="1559" w:type="dxa"/>
            <w:tcBorders>
              <w:top w:val="single" w:sz="4" w:space="0" w:color="000000"/>
              <w:left w:val="nil"/>
              <w:bottom w:val="single" w:sz="4" w:space="0" w:color="000000"/>
              <w:right w:val="single" w:sz="4" w:space="0" w:color="000000"/>
            </w:tcBorders>
            <w:shd w:val="clear" w:color="auto" w:fill="95B3D7" w:themeFill="accent1" w:themeFillTint="99"/>
            <w:noWrap/>
            <w:hideMark/>
          </w:tcPr>
          <w:p w14:paraId="214A5353"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Death certified</w:t>
            </w:r>
          </w:p>
        </w:tc>
        <w:tc>
          <w:tcPr>
            <w:tcW w:w="1559" w:type="dxa"/>
            <w:tcBorders>
              <w:top w:val="single" w:sz="4" w:space="0" w:color="000000"/>
              <w:left w:val="nil"/>
              <w:bottom w:val="single" w:sz="4" w:space="0" w:color="000000"/>
              <w:right w:val="single" w:sz="4" w:space="0" w:color="000000"/>
            </w:tcBorders>
            <w:shd w:val="clear" w:color="auto" w:fill="D99594" w:themeFill="accent2" w:themeFillTint="99"/>
            <w:noWrap/>
            <w:hideMark/>
          </w:tcPr>
          <w:p w14:paraId="3B6B6993"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 xml:space="preserve">Manager's 48 hour review </w:t>
            </w:r>
          </w:p>
        </w:tc>
        <w:tc>
          <w:tcPr>
            <w:tcW w:w="1549" w:type="dxa"/>
            <w:tcBorders>
              <w:top w:val="single" w:sz="4" w:space="0" w:color="000000"/>
              <w:left w:val="nil"/>
              <w:bottom w:val="single" w:sz="4" w:space="0" w:color="000000"/>
              <w:right w:val="single" w:sz="4" w:space="0" w:color="000000"/>
            </w:tcBorders>
            <w:shd w:val="clear" w:color="auto" w:fill="D99594" w:themeFill="accent2" w:themeFillTint="99"/>
            <w:noWrap/>
            <w:hideMark/>
          </w:tcPr>
          <w:p w14:paraId="22BDFEC0"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Structured Judgment Review (SJR)</w:t>
            </w:r>
          </w:p>
        </w:tc>
        <w:tc>
          <w:tcPr>
            <w:tcW w:w="1711" w:type="dxa"/>
            <w:tcBorders>
              <w:top w:val="single" w:sz="4" w:space="0" w:color="000000"/>
              <w:left w:val="nil"/>
              <w:bottom w:val="single" w:sz="4" w:space="0" w:color="000000"/>
              <w:right w:val="single" w:sz="4" w:space="0" w:color="000000"/>
            </w:tcBorders>
            <w:shd w:val="clear" w:color="auto" w:fill="C2D69B" w:themeFill="accent3" w:themeFillTint="99"/>
            <w:noWrap/>
            <w:hideMark/>
          </w:tcPr>
          <w:p w14:paraId="6DE2D720"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Service Level Investigation</w:t>
            </w:r>
          </w:p>
        </w:tc>
        <w:tc>
          <w:tcPr>
            <w:tcW w:w="1560" w:type="dxa"/>
            <w:tcBorders>
              <w:top w:val="single" w:sz="4" w:space="0" w:color="000000"/>
              <w:left w:val="nil"/>
              <w:bottom w:val="single" w:sz="4" w:space="0" w:color="000000"/>
              <w:right w:val="single" w:sz="4" w:space="0" w:color="000000"/>
            </w:tcBorders>
            <w:shd w:val="clear" w:color="auto" w:fill="C2D69B" w:themeFill="accent3" w:themeFillTint="99"/>
            <w:noWrap/>
            <w:hideMark/>
          </w:tcPr>
          <w:p w14:paraId="3263DC7D"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Serious Incident Investigation</w:t>
            </w:r>
          </w:p>
        </w:tc>
        <w:tc>
          <w:tcPr>
            <w:tcW w:w="1559" w:type="dxa"/>
            <w:tcBorders>
              <w:top w:val="single" w:sz="4" w:space="0" w:color="000000"/>
              <w:left w:val="nil"/>
              <w:bottom w:val="single" w:sz="4" w:space="0" w:color="000000"/>
              <w:right w:val="single" w:sz="4" w:space="0" w:color="000000"/>
            </w:tcBorders>
            <w:shd w:val="clear" w:color="auto" w:fill="C2D69B" w:themeFill="accent3" w:themeFillTint="99"/>
            <w:noWrap/>
            <w:hideMark/>
          </w:tcPr>
          <w:p w14:paraId="3C0E769C"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LeDeR</w:t>
            </w:r>
            <w:r w:rsidRPr="00D92B01">
              <w:rPr>
                <w:rFonts w:ascii="Arial" w:eastAsia="Times New Roman" w:hAnsi="Arial" w:cs="Arial"/>
                <w:bCs/>
                <w:color w:val="000000"/>
                <w:sz w:val="20"/>
                <w:szCs w:val="20"/>
                <w:vertAlign w:val="superscript"/>
              </w:rPr>
              <w:t>3</w:t>
            </w:r>
          </w:p>
        </w:tc>
        <w:tc>
          <w:tcPr>
            <w:tcW w:w="1559" w:type="dxa"/>
            <w:tcBorders>
              <w:top w:val="single" w:sz="4" w:space="0" w:color="000000"/>
              <w:left w:val="nil"/>
              <w:bottom w:val="single" w:sz="4" w:space="0" w:color="000000"/>
              <w:right w:val="single" w:sz="4" w:space="0" w:color="000000"/>
            </w:tcBorders>
            <w:shd w:val="clear" w:color="auto" w:fill="C2D69B" w:themeFill="accent3" w:themeFillTint="99"/>
            <w:noWrap/>
            <w:hideMark/>
          </w:tcPr>
          <w:p w14:paraId="11E9184A"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Other investigation</w:t>
            </w:r>
          </w:p>
        </w:tc>
        <w:tc>
          <w:tcPr>
            <w:tcW w:w="1701" w:type="dxa"/>
            <w:tcBorders>
              <w:left w:val="nil"/>
              <w:bottom w:val="single" w:sz="4" w:space="0" w:color="000000"/>
              <w:right w:val="single" w:sz="4" w:space="0" w:color="000000"/>
            </w:tcBorders>
            <w:shd w:val="clear" w:color="auto" w:fill="auto"/>
            <w:noWrap/>
            <w:hideMark/>
          </w:tcPr>
          <w:p w14:paraId="36558BA7" w14:textId="77777777" w:rsidR="00D92B01" w:rsidRPr="00D92B01" w:rsidRDefault="00D92B01" w:rsidP="00324557">
            <w:pPr>
              <w:jc w:val="center"/>
              <w:rPr>
                <w:rFonts w:ascii="Arial" w:eastAsia="Times New Roman" w:hAnsi="Arial" w:cs="Arial"/>
                <w:bCs/>
                <w:color w:val="000000"/>
                <w:sz w:val="20"/>
                <w:szCs w:val="20"/>
              </w:rPr>
            </w:pPr>
          </w:p>
        </w:tc>
      </w:tr>
      <w:tr w:rsidR="00D92B01" w:rsidRPr="00D92B01" w14:paraId="2849105D" w14:textId="77777777" w:rsidTr="00D92B01">
        <w:trPr>
          <w:trHeight w:val="300"/>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14:paraId="18F51D8E" w14:textId="77777777" w:rsidR="00D92B01" w:rsidRPr="00D92B01" w:rsidRDefault="00D92B01" w:rsidP="00324557">
            <w:pPr>
              <w:rPr>
                <w:rFonts w:ascii="Arial" w:eastAsia="Times New Roman" w:hAnsi="Arial" w:cs="Arial"/>
                <w:bCs/>
                <w:color w:val="000000"/>
                <w:sz w:val="20"/>
                <w:szCs w:val="20"/>
              </w:rPr>
            </w:pPr>
            <w:r w:rsidRPr="00D92B01">
              <w:rPr>
                <w:rFonts w:ascii="Arial" w:eastAsia="Times New Roman" w:hAnsi="Arial" w:cs="Arial"/>
                <w:bCs/>
                <w:color w:val="000000"/>
                <w:sz w:val="20"/>
                <w:szCs w:val="20"/>
              </w:rPr>
              <w:t>Quarter 1</w:t>
            </w:r>
          </w:p>
        </w:tc>
        <w:tc>
          <w:tcPr>
            <w:tcW w:w="1559" w:type="dxa"/>
            <w:tcBorders>
              <w:top w:val="nil"/>
              <w:left w:val="nil"/>
              <w:bottom w:val="single" w:sz="4" w:space="0" w:color="000000"/>
              <w:right w:val="single" w:sz="4" w:space="0" w:color="000000"/>
            </w:tcBorders>
            <w:shd w:val="clear" w:color="auto" w:fill="auto"/>
            <w:noWrap/>
            <w:vAlign w:val="bottom"/>
            <w:hideMark/>
          </w:tcPr>
          <w:p w14:paraId="0E7B808B"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23</w:t>
            </w:r>
          </w:p>
        </w:tc>
        <w:tc>
          <w:tcPr>
            <w:tcW w:w="1559" w:type="dxa"/>
            <w:tcBorders>
              <w:top w:val="nil"/>
              <w:left w:val="nil"/>
              <w:bottom w:val="single" w:sz="4" w:space="0" w:color="000000"/>
              <w:right w:val="single" w:sz="4" w:space="0" w:color="000000"/>
            </w:tcBorders>
            <w:shd w:val="clear" w:color="auto" w:fill="auto"/>
            <w:noWrap/>
            <w:vAlign w:val="bottom"/>
            <w:hideMark/>
          </w:tcPr>
          <w:p w14:paraId="32FF1190"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8</w:t>
            </w:r>
          </w:p>
        </w:tc>
        <w:tc>
          <w:tcPr>
            <w:tcW w:w="1549" w:type="dxa"/>
            <w:tcBorders>
              <w:top w:val="nil"/>
              <w:left w:val="nil"/>
              <w:bottom w:val="single" w:sz="4" w:space="0" w:color="000000"/>
              <w:right w:val="single" w:sz="4" w:space="0" w:color="000000"/>
            </w:tcBorders>
            <w:shd w:val="clear" w:color="auto" w:fill="auto"/>
            <w:noWrap/>
            <w:vAlign w:val="bottom"/>
            <w:hideMark/>
          </w:tcPr>
          <w:p w14:paraId="7E519C92"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8</w:t>
            </w:r>
          </w:p>
        </w:tc>
        <w:tc>
          <w:tcPr>
            <w:tcW w:w="1711" w:type="dxa"/>
            <w:tcBorders>
              <w:top w:val="nil"/>
              <w:left w:val="nil"/>
              <w:bottom w:val="single" w:sz="4" w:space="0" w:color="000000"/>
              <w:right w:val="single" w:sz="4" w:space="0" w:color="000000"/>
            </w:tcBorders>
            <w:shd w:val="clear" w:color="auto" w:fill="auto"/>
            <w:noWrap/>
            <w:vAlign w:val="bottom"/>
            <w:hideMark/>
          </w:tcPr>
          <w:p w14:paraId="1BF09663"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0</w:t>
            </w:r>
          </w:p>
        </w:tc>
        <w:tc>
          <w:tcPr>
            <w:tcW w:w="1560" w:type="dxa"/>
            <w:tcBorders>
              <w:top w:val="nil"/>
              <w:left w:val="nil"/>
              <w:bottom w:val="single" w:sz="4" w:space="0" w:color="000000"/>
              <w:right w:val="single" w:sz="4" w:space="0" w:color="000000"/>
            </w:tcBorders>
            <w:shd w:val="clear" w:color="auto" w:fill="auto"/>
            <w:noWrap/>
            <w:vAlign w:val="bottom"/>
            <w:hideMark/>
          </w:tcPr>
          <w:p w14:paraId="77C6057D"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9</w:t>
            </w:r>
          </w:p>
        </w:tc>
        <w:tc>
          <w:tcPr>
            <w:tcW w:w="1559" w:type="dxa"/>
            <w:tcBorders>
              <w:top w:val="nil"/>
              <w:left w:val="nil"/>
              <w:bottom w:val="single" w:sz="4" w:space="0" w:color="000000"/>
              <w:right w:val="single" w:sz="4" w:space="0" w:color="000000"/>
            </w:tcBorders>
            <w:shd w:val="clear" w:color="auto" w:fill="auto"/>
            <w:noWrap/>
            <w:vAlign w:val="bottom"/>
            <w:hideMark/>
          </w:tcPr>
          <w:p w14:paraId="02CD8F17"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14</w:t>
            </w:r>
          </w:p>
        </w:tc>
        <w:tc>
          <w:tcPr>
            <w:tcW w:w="1559" w:type="dxa"/>
            <w:tcBorders>
              <w:top w:val="nil"/>
              <w:left w:val="nil"/>
              <w:bottom w:val="single" w:sz="4" w:space="0" w:color="000000"/>
              <w:right w:val="single" w:sz="4" w:space="0" w:color="000000"/>
            </w:tcBorders>
            <w:shd w:val="clear" w:color="auto" w:fill="auto"/>
            <w:noWrap/>
            <w:vAlign w:val="bottom"/>
            <w:hideMark/>
          </w:tcPr>
          <w:p w14:paraId="22F71071"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1</w:t>
            </w:r>
          </w:p>
        </w:tc>
        <w:tc>
          <w:tcPr>
            <w:tcW w:w="1701" w:type="dxa"/>
            <w:tcBorders>
              <w:top w:val="nil"/>
              <w:left w:val="nil"/>
              <w:bottom w:val="single" w:sz="4" w:space="0" w:color="000000"/>
              <w:right w:val="single" w:sz="4" w:space="0" w:color="000000"/>
            </w:tcBorders>
            <w:shd w:val="clear" w:color="auto" w:fill="auto"/>
            <w:noWrap/>
            <w:vAlign w:val="bottom"/>
            <w:hideMark/>
          </w:tcPr>
          <w:p w14:paraId="7B3E8389"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63</w:t>
            </w:r>
          </w:p>
        </w:tc>
      </w:tr>
      <w:tr w:rsidR="00D92B01" w:rsidRPr="00D92B01" w14:paraId="153D90D5" w14:textId="77777777" w:rsidTr="00D92B01">
        <w:trPr>
          <w:trHeight w:val="300"/>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14:paraId="1605815A" w14:textId="77777777" w:rsidR="00D92B01" w:rsidRPr="00D92B01" w:rsidRDefault="00D92B01" w:rsidP="00324557">
            <w:pPr>
              <w:rPr>
                <w:rFonts w:ascii="Arial" w:eastAsia="Times New Roman" w:hAnsi="Arial" w:cs="Arial"/>
                <w:bCs/>
                <w:color w:val="000000"/>
                <w:sz w:val="20"/>
                <w:szCs w:val="20"/>
              </w:rPr>
            </w:pPr>
            <w:r w:rsidRPr="00D92B01">
              <w:rPr>
                <w:rFonts w:ascii="Arial" w:eastAsia="Times New Roman" w:hAnsi="Arial" w:cs="Arial"/>
                <w:bCs/>
                <w:color w:val="000000"/>
                <w:sz w:val="20"/>
                <w:szCs w:val="20"/>
              </w:rPr>
              <w:t>Quarter 2</w:t>
            </w:r>
          </w:p>
        </w:tc>
        <w:tc>
          <w:tcPr>
            <w:tcW w:w="1559" w:type="dxa"/>
            <w:tcBorders>
              <w:top w:val="nil"/>
              <w:left w:val="nil"/>
              <w:bottom w:val="single" w:sz="4" w:space="0" w:color="000000"/>
              <w:right w:val="single" w:sz="4" w:space="0" w:color="000000"/>
            </w:tcBorders>
            <w:shd w:val="clear" w:color="auto" w:fill="auto"/>
            <w:noWrap/>
            <w:vAlign w:val="bottom"/>
            <w:hideMark/>
          </w:tcPr>
          <w:p w14:paraId="6C400AB2"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13</w:t>
            </w:r>
          </w:p>
        </w:tc>
        <w:tc>
          <w:tcPr>
            <w:tcW w:w="1559" w:type="dxa"/>
            <w:tcBorders>
              <w:top w:val="nil"/>
              <w:left w:val="nil"/>
              <w:bottom w:val="single" w:sz="4" w:space="0" w:color="000000"/>
              <w:right w:val="single" w:sz="4" w:space="0" w:color="000000"/>
            </w:tcBorders>
            <w:shd w:val="clear" w:color="auto" w:fill="auto"/>
            <w:noWrap/>
            <w:vAlign w:val="bottom"/>
            <w:hideMark/>
          </w:tcPr>
          <w:p w14:paraId="6FE746EC"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15</w:t>
            </w:r>
          </w:p>
        </w:tc>
        <w:tc>
          <w:tcPr>
            <w:tcW w:w="1549" w:type="dxa"/>
            <w:tcBorders>
              <w:top w:val="nil"/>
              <w:left w:val="nil"/>
              <w:bottom w:val="single" w:sz="4" w:space="0" w:color="000000"/>
              <w:right w:val="single" w:sz="4" w:space="0" w:color="000000"/>
            </w:tcBorders>
            <w:shd w:val="clear" w:color="auto" w:fill="auto"/>
            <w:noWrap/>
            <w:vAlign w:val="bottom"/>
            <w:hideMark/>
          </w:tcPr>
          <w:p w14:paraId="1698BA1B"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8</w:t>
            </w:r>
          </w:p>
        </w:tc>
        <w:tc>
          <w:tcPr>
            <w:tcW w:w="1711" w:type="dxa"/>
            <w:tcBorders>
              <w:top w:val="nil"/>
              <w:left w:val="nil"/>
              <w:bottom w:val="single" w:sz="4" w:space="0" w:color="000000"/>
              <w:right w:val="single" w:sz="4" w:space="0" w:color="000000"/>
            </w:tcBorders>
            <w:shd w:val="clear" w:color="auto" w:fill="auto"/>
            <w:noWrap/>
            <w:vAlign w:val="bottom"/>
            <w:hideMark/>
          </w:tcPr>
          <w:p w14:paraId="7C2866B6"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1</w:t>
            </w:r>
          </w:p>
        </w:tc>
        <w:tc>
          <w:tcPr>
            <w:tcW w:w="1560" w:type="dxa"/>
            <w:tcBorders>
              <w:top w:val="nil"/>
              <w:left w:val="nil"/>
              <w:bottom w:val="single" w:sz="4" w:space="0" w:color="000000"/>
              <w:right w:val="single" w:sz="4" w:space="0" w:color="000000"/>
            </w:tcBorders>
            <w:shd w:val="clear" w:color="auto" w:fill="auto"/>
            <w:noWrap/>
            <w:vAlign w:val="bottom"/>
            <w:hideMark/>
          </w:tcPr>
          <w:p w14:paraId="34F94A35"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10</w:t>
            </w:r>
          </w:p>
        </w:tc>
        <w:tc>
          <w:tcPr>
            <w:tcW w:w="1559" w:type="dxa"/>
            <w:tcBorders>
              <w:top w:val="nil"/>
              <w:left w:val="nil"/>
              <w:bottom w:val="single" w:sz="4" w:space="0" w:color="000000"/>
              <w:right w:val="single" w:sz="4" w:space="0" w:color="000000"/>
            </w:tcBorders>
            <w:shd w:val="clear" w:color="auto" w:fill="auto"/>
            <w:noWrap/>
            <w:vAlign w:val="bottom"/>
            <w:hideMark/>
          </w:tcPr>
          <w:p w14:paraId="5AA090EB"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14</w:t>
            </w:r>
          </w:p>
        </w:tc>
        <w:tc>
          <w:tcPr>
            <w:tcW w:w="1559" w:type="dxa"/>
            <w:tcBorders>
              <w:top w:val="nil"/>
              <w:left w:val="nil"/>
              <w:bottom w:val="single" w:sz="4" w:space="0" w:color="000000"/>
              <w:right w:val="single" w:sz="4" w:space="0" w:color="000000"/>
            </w:tcBorders>
            <w:shd w:val="clear" w:color="auto" w:fill="auto"/>
            <w:noWrap/>
            <w:vAlign w:val="bottom"/>
            <w:hideMark/>
          </w:tcPr>
          <w:p w14:paraId="5CE47404"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0</w:t>
            </w:r>
          </w:p>
        </w:tc>
        <w:tc>
          <w:tcPr>
            <w:tcW w:w="1701" w:type="dxa"/>
            <w:tcBorders>
              <w:top w:val="nil"/>
              <w:left w:val="nil"/>
              <w:bottom w:val="single" w:sz="4" w:space="0" w:color="000000"/>
              <w:right w:val="single" w:sz="4" w:space="0" w:color="000000"/>
            </w:tcBorders>
            <w:shd w:val="clear" w:color="auto" w:fill="auto"/>
            <w:noWrap/>
            <w:vAlign w:val="bottom"/>
            <w:hideMark/>
          </w:tcPr>
          <w:p w14:paraId="4343A5D4"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61</w:t>
            </w:r>
          </w:p>
        </w:tc>
      </w:tr>
      <w:tr w:rsidR="00D92B01" w:rsidRPr="00D92B01" w14:paraId="0D38CB55" w14:textId="77777777" w:rsidTr="00D92B01">
        <w:trPr>
          <w:trHeight w:val="300"/>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14:paraId="75E9F48C" w14:textId="77777777" w:rsidR="00D92B01" w:rsidRPr="00D92B01" w:rsidRDefault="00D92B01" w:rsidP="00324557">
            <w:pPr>
              <w:rPr>
                <w:rFonts w:ascii="Arial" w:eastAsia="Times New Roman" w:hAnsi="Arial" w:cs="Arial"/>
                <w:bCs/>
                <w:color w:val="000000"/>
                <w:sz w:val="20"/>
                <w:szCs w:val="20"/>
              </w:rPr>
            </w:pPr>
            <w:r w:rsidRPr="00D92B01">
              <w:rPr>
                <w:rFonts w:ascii="Arial" w:eastAsia="Times New Roman" w:hAnsi="Arial" w:cs="Arial"/>
                <w:bCs/>
                <w:color w:val="000000"/>
                <w:sz w:val="20"/>
                <w:szCs w:val="20"/>
              </w:rPr>
              <w:t>Quarter 3</w:t>
            </w:r>
          </w:p>
        </w:tc>
        <w:tc>
          <w:tcPr>
            <w:tcW w:w="1559" w:type="dxa"/>
            <w:tcBorders>
              <w:top w:val="nil"/>
              <w:left w:val="nil"/>
              <w:bottom w:val="single" w:sz="4" w:space="0" w:color="000000"/>
              <w:right w:val="single" w:sz="4" w:space="0" w:color="000000"/>
            </w:tcBorders>
            <w:shd w:val="clear" w:color="auto" w:fill="auto"/>
            <w:noWrap/>
            <w:vAlign w:val="bottom"/>
            <w:hideMark/>
          </w:tcPr>
          <w:p w14:paraId="2B578F67"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35</w:t>
            </w:r>
          </w:p>
        </w:tc>
        <w:tc>
          <w:tcPr>
            <w:tcW w:w="1559" w:type="dxa"/>
            <w:tcBorders>
              <w:top w:val="nil"/>
              <w:left w:val="nil"/>
              <w:bottom w:val="single" w:sz="4" w:space="0" w:color="000000"/>
              <w:right w:val="single" w:sz="4" w:space="0" w:color="000000"/>
            </w:tcBorders>
            <w:shd w:val="clear" w:color="auto" w:fill="auto"/>
            <w:noWrap/>
            <w:vAlign w:val="bottom"/>
            <w:hideMark/>
          </w:tcPr>
          <w:p w14:paraId="592535A9"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16</w:t>
            </w:r>
          </w:p>
        </w:tc>
        <w:tc>
          <w:tcPr>
            <w:tcW w:w="1549" w:type="dxa"/>
            <w:tcBorders>
              <w:top w:val="nil"/>
              <w:left w:val="nil"/>
              <w:bottom w:val="single" w:sz="4" w:space="0" w:color="000000"/>
              <w:right w:val="single" w:sz="4" w:space="0" w:color="000000"/>
            </w:tcBorders>
            <w:shd w:val="clear" w:color="auto" w:fill="auto"/>
            <w:noWrap/>
            <w:vAlign w:val="bottom"/>
            <w:hideMark/>
          </w:tcPr>
          <w:p w14:paraId="03888D08"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9</w:t>
            </w:r>
          </w:p>
        </w:tc>
        <w:tc>
          <w:tcPr>
            <w:tcW w:w="1711" w:type="dxa"/>
            <w:tcBorders>
              <w:top w:val="nil"/>
              <w:left w:val="nil"/>
              <w:bottom w:val="single" w:sz="4" w:space="0" w:color="000000"/>
              <w:right w:val="single" w:sz="4" w:space="0" w:color="000000"/>
            </w:tcBorders>
            <w:shd w:val="clear" w:color="auto" w:fill="auto"/>
            <w:noWrap/>
            <w:vAlign w:val="bottom"/>
            <w:hideMark/>
          </w:tcPr>
          <w:p w14:paraId="28973051"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2</w:t>
            </w:r>
          </w:p>
        </w:tc>
        <w:tc>
          <w:tcPr>
            <w:tcW w:w="1560" w:type="dxa"/>
            <w:tcBorders>
              <w:top w:val="nil"/>
              <w:left w:val="nil"/>
              <w:bottom w:val="single" w:sz="4" w:space="0" w:color="000000"/>
              <w:right w:val="single" w:sz="4" w:space="0" w:color="000000"/>
            </w:tcBorders>
            <w:shd w:val="clear" w:color="auto" w:fill="auto"/>
            <w:noWrap/>
            <w:vAlign w:val="bottom"/>
            <w:hideMark/>
          </w:tcPr>
          <w:p w14:paraId="4B25670C"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8</w:t>
            </w:r>
          </w:p>
        </w:tc>
        <w:tc>
          <w:tcPr>
            <w:tcW w:w="1559" w:type="dxa"/>
            <w:tcBorders>
              <w:top w:val="nil"/>
              <w:left w:val="nil"/>
              <w:bottom w:val="single" w:sz="4" w:space="0" w:color="000000"/>
              <w:right w:val="single" w:sz="4" w:space="0" w:color="000000"/>
            </w:tcBorders>
            <w:shd w:val="clear" w:color="auto" w:fill="auto"/>
            <w:noWrap/>
            <w:vAlign w:val="bottom"/>
            <w:hideMark/>
          </w:tcPr>
          <w:p w14:paraId="74EF061B"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8</w:t>
            </w:r>
          </w:p>
        </w:tc>
        <w:tc>
          <w:tcPr>
            <w:tcW w:w="1559" w:type="dxa"/>
            <w:tcBorders>
              <w:top w:val="nil"/>
              <w:left w:val="nil"/>
              <w:bottom w:val="single" w:sz="4" w:space="0" w:color="000000"/>
              <w:right w:val="single" w:sz="4" w:space="0" w:color="000000"/>
            </w:tcBorders>
            <w:shd w:val="clear" w:color="auto" w:fill="auto"/>
            <w:noWrap/>
            <w:vAlign w:val="bottom"/>
            <w:hideMark/>
          </w:tcPr>
          <w:p w14:paraId="10CA3658"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2</w:t>
            </w:r>
          </w:p>
        </w:tc>
        <w:tc>
          <w:tcPr>
            <w:tcW w:w="1701" w:type="dxa"/>
            <w:tcBorders>
              <w:top w:val="nil"/>
              <w:left w:val="nil"/>
              <w:bottom w:val="single" w:sz="4" w:space="0" w:color="000000"/>
              <w:right w:val="single" w:sz="4" w:space="0" w:color="000000"/>
            </w:tcBorders>
            <w:shd w:val="clear" w:color="auto" w:fill="auto"/>
            <w:noWrap/>
            <w:vAlign w:val="bottom"/>
            <w:hideMark/>
          </w:tcPr>
          <w:p w14:paraId="38937D40"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80</w:t>
            </w:r>
          </w:p>
        </w:tc>
      </w:tr>
      <w:tr w:rsidR="00D92B01" w:rsidRPr="00D92B01" w14:paraId="00EF612C" w14:textId="77777777" w:rsidTr="00D92B01">
        <w:trPr>
          <w:trHeight w:val="300"/>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14:paraId="56DD2F81" w14:textId="77777777" w:rsidR="00D92B01" w:rsidRPr="00D92B01" w:rsidRDefault="00D92B01" w:rsidP="00324557">
            <w:pPr>
              <w:rPr>
                <w:rFonts w:ascii="Arial" w:eastAsia="Times New Roman" w:hAnsi="Arial" w:cs="Arial"/>
                <w:bCs/>
                <w:color w:val="000000"/>
                <w:sz w:val="20"/>
                <w:szCs w:val="20"/>
              </w:rPr>
            </w:pPr>
            <w:r w:rsidRPr="00D92B01">
              <w:rPr>
                <w:rFonts w:ascii="Arial" w:eastAsia="Times New Roman" w:hAnsi="Arial" w:cs="Arial"/>
                <w:bCs/>
                <w:color w:val="000000"/>
                <w:sz w:val="20"/>
                <w:szCs w:val="20"/>
              </w:rPr>
              <w:t>Quarter 4</w:t>
            </w:r>
          </w:p>
        </w:tc>
        <w:tc>
          <w:tcPr>
            <w:tcW w:w="1559" w:type="dxa"/>
            <w:tcBorders>
              <w:top w:val="nil"/>
              <w:left w:val="nil"/>
              <w:bottom w:val="single" w:sz="4" w:space="0" w:color="000000"/>
              <w:right w:val="single" w:sz="4" w:space="0" w:color="000000"/>
            </w:tcBorders>
            <w:shd w:val="clear" w:color="auto" w:fill="auto"/>
            <w:noWrap/>
            <w:vAlign w:val="bottom"/>
            <w:hideMark/>
          </w:tcPr>
          <w:p w14:paraId="7E744778"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34</w:t>
            </w:r>
          </w:p>
        </w:tc>
        <w:tc>
          <w:tcPr>
            <w:tcW w:w="1559" w:type="dxa"/>
            <w:tcBorders>
              <w:top w:val="nil"/>
              <w:left w:val="nil"/>
              <w:bottom w:val="single" w:sz="4" w:space="0" w:color="000000"/>
              <w:right w:val="single" w:sz="4" w:space="0" w:color="000000"/>
            </w:tcBorders>
            <w:shd w:val="clear" w:color="auto" w:fill="auto"/>
            <w:noWrap/>
            <w:vAlign w:val="bottom"/>
            <w:hideMark/>
          </w:tcPr>
          <w:p w14:paraId="4DE6BE1B"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16</w:t>
            </w:r>
          </w:p>
        </w:tc>
        <w:tc>
          <w:tcPr>
            <w:tcW w:w="1549" w:type="dxa"/>
            <w:tcBorders>
              <w:top w:val="nil"/>
              <w:left w:val="nil"/>
              <w:bottom w:val="single" w:sz="4" w:space="0" w:color="000000"/>
              <w:right w:val="single" w:sz="4" w:space="0" w:color="000000"/>
            </w:tcBorders>
            <w:shd w:val="clear" w:color="auto" w:fill="auto"/>
            <w:noWrap/>
            <w:vAlign w:val="bottom"/>
            <w:hideMark/>
          </w:tcPr>
          <w:p w14:paraId="2817E0DC"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6</w:t>
            </w:r>
          </w:p>
        </w:tc>
        <w:tc>
          <w:tcPr>
            <w:tcW w:w="1711" w:type="dxa"/>
            <w:tcBorders>
              <w:top w:val="nil"/>
              <w:left w:val="nil"/>
              <w:bottom w:val="single" w:sz="4" w:space="0" w:color="000000"/>
              <w:right w:val="single" w:sz="4" w:space="0" w:color="000000"/>
            </w:tcBorders>
            <w:shd w:val="clear" w:color="auto" w:fill="auto"/>
            <w:noWrap/>
            <w:vAlign w:val="bottom"/>
            <w:hideMark/>
          </w:tcPr>
          <w:p w14:paraId="371A239A"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1</w:t>
            </w:r>
          </w:p>
        </w:tc>
        <w:tc>
          <w:tcPr>
            <w:tcW w:w="1560" w:type="dxa"/>
            <w:tcBorders>
              <w:top w:val="nil"/>
              <w:left w:val="nil"/>
              <w:bottom w:val="single" w:sz="4" w:space="0" w:color="000000"/>
              <w:right w:val="single" w:sz="4" w:space="0" w:color="000000"/>
            </w:tcBorders>
            <w:shd w:val="clear" w:color="auto" w:fill="auto"/>
            <w:noWrap/>
            <w:vAlign w:val="bottom"/>
            <w:hideMark/>
          </w:tcPr>
          <w:p w14:paraId="00D48FF5"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10</w:t>
            </w:r>
          </w:p>
        </w:tc>
        <w:tc>
          <w:tcPr>
            <w:tcW w:w="1559" w:type="dxa"/>
            <w:tcBorders>
              <w:top w:val="nil"/>
              <w:left w:val="nil"/>
              <w:bottom w:val="single" w:sz="4" w:space="0" w:color="000000"/>
              <w:right w:val="single" w:sz="4" w:space="0" w:color="000000"/>
            </w:tcBorders>
            <w:shd w:val="clear" w:color="auto" w:fill="auto"/>
            <w:noWrap/>
            <w:vAlign w:val="bottom"/>
            <w:hideMark/>
          </w:tcPr>
          <w:p w14:paraId="75A368A4"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13</w:t>
            </w:r>
          </w:p>
        </w:tc>
        <w:tc>
          <w:tcPr>
            <w:tcW w:w="1559" w:type="dxa"/>
            <w:tcBorders>
              <w:top w:val="nil"/>
              <w:left w:val="nil"/>
              <w:bottom w:val="single" w:sz="4" w:space="0" w:color="000000"/>
              <w:right w:val="single" w:sz="4" w:space="0" w:color="000000"/>
            </w:tcBorders>
            <w:shd w:val="clear" w:color="auto" w:fill="auto"/>
            <w:noWrap/>
            <w:vAlign w:val="bottom"/>
            <w:hideMark/>
          </w:tcPr>
          <w:p w14:paraId="18F25617"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2</w:t>
            </w:r>
          </w:p>
        </w:tc>
        <w:tc>
          <w:tcPr>
            <w:tcW w:w="1701" w:type="dxa"/>
            <w:tcBorders>
              <w:top w:val="nil"/>
              <w:left w:val="nil"/>
              <w:bottom w:val="single" w:sz="4" w:space="0" w:color="000000"/>
              <w:right w:val="single" w:sz="4" w:space="0" w:color="000000"/>
            </w:tcBorders>
            <w:shd w:val="clear" w:color="auto" w:fill="auto"/>
            <w:noWrap/>
            <w:vAlign w:val="bottom"/>
            <w:hideMark/>
          </w:tcPr>
          <w:p w14:paraId="23DD6EC6"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82</w:t>
            </w:r>
          </w:p>
        </w:tc>
      </w:tr>
      <w:tr w:rsidR="00D92B01" w:rsidRPr="00D92B01" w14:paraId="1AD11082" w14:textId="77777777" w:rsidTr="00D92B01">
        <w:trPr>
          <w:trHeight w:val="300"/>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14:paraId="7A6F9425" w14:textId="77777777" w:rsidR="00D92B01" w:rsidRPr="00D92B01" w:rsidRDefault="00D92B01" w:rsidP="00324557">
            <w:pPr>
              <w:rPr>
                <w:rFonts w:ascii="Arial" w:eastAsia="Times New Roman" w:hAnsi="Arial" w:cs="Arial"/>
                <w:b/>
                <w:bCs/>
                <w:color w:val="000000"/>
                <w:sz w:val="20"/>
                <w:szCs w:val="20"/>
              </w:rPr>
            </w:pPr>
            <w:r w:rsidRPr="00D92B01">
              <w:rPr>
                <w:rFonts w:ascii="Arial" w:eastAsia="Times New Roman" w:hAnsi="Arial" w:cs="Arial"/>
                <w:b/>
                <w:bCs/>
                <w:color w:val="000000"/>
                <w:sz w:val="20"/>
                <w:szCs w:val="20"/>
              </w:rPr>
              <w:t>2019/20 total</w:t>
            </w:r>
          </w:p>
        </w:tc>
        <w:tc>
          <w:tcPr>
            <w:tcW w:w="1559" w:type="dxa"/>
            <w:tcBorders>
              <w:top w:val="nil"/>
              <w:left w:val="nil"/>
              <w:bottom w:val="single" w:sz="4" w:space="0" w:color="000000"/>
              <w:right w:val="single" w:sz="4" w:space="0" w:color="000000"/>
            </w:tcBorders>
            <w:shd w:val="clear" w:color="auto" w:fill="auto"/>
            <w:noWrap/>
            <w:vAlign w:val="bottom"/>
            <w:hideMark/>
          </w:tcPr>
          <w:p w14:paraId="2593545E"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105</w:t>
            </w:r>
          </w:p>
        </w:tc>
        <w:tc>
          <w:tcPr>
            <w:tcW w:w="1559" w:type="dxa"/>
            <w:tcBorders>
              <w:top w:val="nil"/>
              <w:left w:val="nil"/>
              <w:bottom w:val="single" w:sz="4" w:space="0" w:color="000000"/>
              <w:right w:val="single" w:sz="4" w:space="0" w:color="000000"/>
            </w:tcBorders>
            <w:shd w:val="clear" w:color="auto" w:fill="auto"/>
            <w:noWrap/>
            <w:vAlign w:val="bottom"/>
            <w:hideMark/>
          </w:tcPr>
          <w:p w14:paraId="20186202"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55</w:t>
            </w:r>
          </w:p>
        </w:tc>
        <w:tc>
          <w:tcPr>
            <w:tcW w:w="1549" w:type="dxa"/>
            <w:tcBorders>
              <w:top w:val="nil"/>
              <w:left w:val="nil"/>
              <w:bottom w:val="single" w:sz="4" w:space="0" w:color="000000"/>
              <w:right w:val="single" w:sz="4" w:space="0" w:color="000000"/>
            </w:tcBorders>
            <w:shd w:val="clear" w:color="auto" w:fill="auto"/>
            <w:noWrap/>
            <w:vAlign w:val="bottom"/>
            <w:hideMark/>
          </w:tcPr>
          <w:p w14:paraId="6274A19E"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31</w:t>
            </w:r>
          </w:p>
        </w:tc>
        <w:tc>
          <w:tcPr>
            <w:tcW w:w="1711" w:type="dxa"/>
            <w:tcBorders>
              <w:top w:val="nil"/>
              <w:left w:val="nil"/>
              <w:bottom w:val="single" w:sz="4" w:space="0" w:color="000000"/>
              <w:right w:val="single" w:sz="4" w:space="0" w:color="000000"/>
            </w:tcBorders>
            <w:shd w:val="clear" w:color="auto" w:fill="auto"/>
            <w:noWrap/>
            <w:vAlign w:val="bottom"/>
            <w:hideMark/>
          </w:tcPr>
          <w:p w14:paraId="2F6921C3"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4</w:t>
            </w:r>
          </w:p>
        </w:tc>
        <w:tc>
          <w:tcPr>
            <w:tcW w:w="1560" w:type="dxa"/>
            <w:tcBorders>
              <w:top w:val="nil"/>
              <w:left w:val="nil"/>
              <w:bottom w:val="single" w:sz="4" w:space="0" w:color="000000"/>
              <w:right w:val="single" w:sz="4" w:space="0" w:color="000000"/>
            </w:tcBorders>
            <w:shd w:val="clear" w:color="auto" w:fill="auto"/>
            <w:noWrap/>
            <w:vAlign w:val="bottom"/>
            <w:hideMark/>
          </w:tcPr>
          <w:p w14:paraId="6F40F6E0"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37</w:t>
            </w:r>
          </w:p>
        </w:tc>
        <w:tc>
          <w:tcPr>
            <w:tcW w:w="1559" w:type="dxa"/>
            <w:tcBorders>
              <w:top w:val="nil"/>
              <w:left w:val="nil"/>
              <w:bottom w:val="single" w:sz="4" w:space="0" w:color="000000"/>
              <w:right w:val="single" w:sz="4" w:space="0" w:color="000000"/>
            </w:tcBorders>
            <w:shd w:val="clear" w:color="auto" w:fill="auto"/>
            <w:noWrap/>
            <w:vAlign w:val="bottom"/>
            <w:hideMark/>
          </w:tcPr>
          <w:p w14:paraId="2A4BE2B1"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49</w:t>
            </w:r>
          </w:p>
        </w:tc>
        <w:tc>
          <w:tcPr>
            <w:tcW w:w="1559" w:type="dxa"/>
            <w:tcBorders>
              <w:top w:val="nil"/>
              <w:left w:val="nil"/>
              <w:bottom w:val="single" w:sz="4" w:space="0" w:color="000000"/>
              <w:right w:val="single" w:sz="4" w:space="0" w:color="000000"/>
            </w:tcBorders>
            <w:shd w:val="clear" w:color="auto" w:fill="auto"/>
            <w:noWrap/>
            <w:vAlign w:val="bottom"/>
            <w:hideMark/>
          </w:tcPr>
          <w:p w14:paraId="3C4468C2"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5</w:t>
            </w:r>
          </w:p>
        </w:tc>
        <w:tc>
          <w:tcPr>
            <w:tcW w:w="1701" w:type="dxa"/>
            <w:tcBorders>
              <w:top w:val="nil"/>
              <w:left w:val="nil"/>
              <w:bottom w:val="single" w:sz="4" w:space="0" w:color="000000"/>
              <w:right w:val="single" w:sz="4" w:space="0" w:color="000000"/>
            </w:tcBorders>
            <w:shd w:val="clear" w:color="auto" w:fill="auto"/>
            <w:noWrap/>
            <w:vAlign w:val="bottom"/>
            <w:hideMark/>
          </w:tcPr>
          <w:p w14:paraId="2773A6C1" w14:textId="77777777" w:rsidR="00D92B01" w:rsidRPr="00D92B01" w:rsidRDefault="00D92B01" w:rsidP="00324557">
            <w:pPr>
              <w:jc w:val="center"/>
              <w:rPr>
                <w:rFonts w:ascii="Arial" w:eastAsia="Times New Roman" w:hAnsi="Arial" w:cs="Arial"/>
                <w:bCs/>
                <w:color w:val="000000"/>
                <w:sz w:val="20"/>
                <w:szCs w:val="20"/>
              </w:rPr>
            </w:pPr>
            <w:r w:rsidRPr="00D92B01">
              <w:rPr>
                <w:rFonts w:ascii="Arial" w:eastAsia="Times New Roman" w:hAnsi="Arial" w:cs="Arial"/>
                <w:bCs/>
                <w:color w:val="000000"/>
                <w:sz w:val="20"/>
                <w:szCs w:val="20"/>
              </w:rPr>
              <w:t>286</w:t>
            </w:r>
          </w:p>
        </w:tc>
      </w:tr>
    </w:tbl>
    <w:p w14:paraId="61730F42" w14:textId="5F37CC1E" w:rsidR="00521B6A" w:rsidRDefault="00521B6A" w:rsidP="009567B7">
      <w:pPr>
        <w:spacing w:line="240" w:lineRule="auto"/>
        <w:ind w:right="-1732"/>
        <w:rPr>
          <w:rFonts w:ascii="Arial" w:hAnsi="Arial" w:cs="Arial"/>
          <w:b/>
          <w:noProof/>
        </w:rPr>
      </w:pPr>
    </w:p>
    <w:p w14:paraId="7A9E7230" w14:textId="2B8F8CBB" w:rsidR="00573B13" w:rsidRDefault="00573B13" w:rsidP="009567B7">
      <w:pPr>
        <w:spacing w:line="240" w:lineRule="auto"/>
        <w:ind w:right="-1732"/>
        <w:rPr>
          <w:rFonts w:ascii="Arial" w:hAnsi="Arial" w:cs="Arial"/>
          <w:b/>
          <w:noProof/>
        </w:rPr>
      </w:pPr>
    </w:p>
    <w:p w14:paraId="3D16ADFC" w14:textId="77777777" w:rsidR="00573B13" w:rsidRDefault="00573B13" w:rsidP="009567B7">
      <w:pPr>
        <w:spacing w:line="240" w:lineRule="auto"/>
        <w:ind w:right="-1732"/>
        <w:rPr>
          <w:rFonts w:ascii="Arial" w:hAnsi="Arial" w:cs="Arial"/>
          <w:b/>
          <w:noProof/>
        </w:rPr>
      </w:pPr>
    </w:p>
    <w:p w14:paraId="161D547C" w14:textId="77777777" w:rsidR="00DC05FB" w:rsidRPr="00CF0D7F" w:rsidRDefault="00DC05FB" w:rsidP="009567B7">
      <w:pPr>
        <w:spacing w:line="240" w:lineRule="auto"/>
        <w:ind w:right="-1732"/>
        <w:rPr>
          <w:rFonts w:ascii="Arial" w:hAnsi="Arial" w:cs="Arial"/>
          <w:b/>
          <w:noProof/>
        </w:rPr>
      </w:pPr>
      <w:r w:rsidRPr="00CF0D7F">
        <w:rPr>
          <w:rFonts w:ascii="Arial" w:hAnsi="Arial" w:cs="Arial"/>
          <w:b/>
          <w:noProof/>
        </w:rPr>
        <w:lastRenderedPageBreak/>
        <w:t>Table 3: Summary of total number of in scope deaths and Review process (excluding Learning Disability deaths)</w:t>
      </w:r>
    </w:p>
    <w:tbl>
      <w:tblPr>
        <w:tblW w:w="12773" w:type="dxa"/>
        <w:tblInd w:w="93" w:type="dxa"/>
        <w:tblLook w:val="04A0" w:firstRow="1" w:lastRow="0" w:firstColumn="1" w:lastColumn="0" w:noHBand="0" w:noVBand="1"/>
      </w:tblPr>
      <w:tblGrid>
        <w:gridCol w:w="1575"/>
        <w:gridCol w:w="1559"/>
        <w:gridCol w:w="1559"/>
        <w:gridCol w:w="1559"/>
        <w:gridCol w:w="1701"/>
        <w:gridCol w:w="1560"/>
        <w:gridCol w:w="1559"/>
        <w:gridCol w:w="1701"/>
      </w:tblGrid>
      <w:tr w:rsidR="00CA2CF2" w:rsidRPr="00BE0AED" w14:paraId="35DB352D" w14:textId="77777777" w:rsidTr="00CA2CF2">
        <w:trPr>
          <w:trHeight w:val="1672"/>
        </w:trPr>
        <w:tc>
          <w:tcPr>
            <w:tcW w:w="1575" w:type="dxa"/>
            <w:tcBorders>
              <w:top w:val="single" w:sz="4" w:space="0" w:color="auto"/>
              <w:left w:val="single" w:sz="4" w:space="0" w:color="auto"/>
              <w:bottom w:val="single" w:sz="4" w:space="0" w:color="auto"/>
              <w:right w:val="single" w:sz="4" w:space="0" w:color="auto"/>
            </w:tcBorders>
            <w:shd w:val="clear" w:color="000000" w:fill="B4C6E7"/>
          </w:tcPr>
          <w:p w14:paraId="7E3ED609" w14:textId="77777777" w:rsidR="00D83151" w:rsidRPr="00BE0AED" w:rsidRDefault="00D83151" w:rsidP="00BE0AED">
            <w:pPr>
              <w:spacing w:after="0" w:line="240" w:lineRule="auto"/>
              <w:jc w:val="center"/>
              <w:rPr>
                <w:rFonts w:ascii="Arial" w:eastAsia="Times New Roman" w:hAnsi="Arial"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4BA611ED" w14:textId="77777777" w:rsidR="00D83151" w:rsidRPr="00BE0AED" w:rsidRDefault="00D83151" w:rsidP="00CA2CF2">
            <w:pPr>
              <w:spacing w:after="0" w:line="240" w:lineRule="auto"/>
              <w:jc w:val="center"/>
              <w:rPr>
                <w:rFonts w:ascii="Arial" w:eastAsia="Times New Roman" w:hAnsi="Arial" w:cs="Arial"/>
                <w:color w:val="000000"/>
              </w:rPr>
            </w:pPr>
            <w:r w:rsidRPr="00BE0AED">
              <w:rPr>
                <w:rFonts w:ascii="Arial" w:eastAsia="Times New Roman" w:hAnsi="Arial" w:cs="Arial"/>
                <w:color w:val="000000"/>
              </w:rPr>
              <w:t>Total Number of Deaths in scope</w:t>
            </w:r>
          </w:p>
        </w:tc>
        <w:tc>
          <w:tcPr>
            <w:tcW w:w="1559" w:type="dxa"/>
            <w:tcBorders>
              <w:top w:val="single" w:sz="4" w:space="0" w:color="auto"/>
              <w:left w:val="nil"/>
              <w:bottom w:val="single" w:sz="4" w:space="0" w:color="auto"/>
              <w:right w:val="single" w:sz="4" w:space="0" w:color="auto"/>
            </w:tcBorders>
            <w:shd w:val="clear" w:color="000000" w:fill="B4C6E7"/>
            <w:vAlign w:val="center"/>
            <w:hideMark/>
          </w:tcPr>
          <w:p w14:paraId="3D0A9846" w14:textId="77777777" w:rsidR="00D83151" w:rsidRPr="00BE0AED" w:rsidRDefault="00D83151" w:rsidP="00CA2CF2">
            <w:pPr>
              <w:spacing w:after="0" w:line="240" w:lineRule="auto"/>
              <w:jc w:val="center"/>
              <w:rPr>
                <w:rFonts w:ascii="Arial" w:eastAsia="Times New Roman" w:hAnsi="Arial" w:cs="Arial"/>
                <w:color w:val="000000"/>
              </w:rPr>
            </w:pPr>
            <w:r w:rsidRPr="00BE0AED">
              <w:rPr>
                <w:rFonts w:ascii="Arial" w:eastAsia="Times New Roman" w:hAnsi="Arial" w:cs="Arial"/>
                <w:color w:val="000000"/>
              </w:rPr>
              <w:t>In-Patient Deaths</w:t>
            </w:r>
          </w:p>
        </w:tc>
        <w:tc>
          <w:tcPr>
            <w:tcW w:w="1559" w:type="dxa"/>
            <w:tcBorders>
              <w:top w:val="single" w:sz="4" w:space="0" w:color="auto"/>
              <w:left w:val="nil"/>
              <w:bottom w:val="single" w:sz="4" w:space="0" w:color="auto"/>
              <w:right w:val="single" w:sz="4" w:space="0" w:color="auto"/>
            </w:tcBorders>
            <w:shd w:val="clear" w:color="000000" w:fill="B4C6E7"/>
            <w:vAlign w:val="center"/>
            <w:hideMark/>
          </w:tcPr>
          <w:p w14:paraId="5A8093D7" w14:textId="77777777" w:rsidR="00D83151" w:rsidRPr="00BE0AED" w:rsidRDefault="00D83151" w:rsidP="00CA2CF2">
            <w:pPr>
              <w:spacing w:after="0" w:line="240" w:lineRule="auto"/>
              <w:jc w:val="center"/>
              <w:rPr>
                <w:rFonts w:ascii="Arial" w:eastAsia="Times New Roman" w:hAnsi="Arial" w:cs="Arial"/>
                <w:color w:val="000000"/>
              </w:rPr>
            </w:pPr>
            <w:r w:rsidRPr="00BE0AED">
              <w:rPr>
                <w:rFonts w:ascii="Arial" w:eastAsia="Times New Roman" w:hAnsi="Arial" w:cs="Arial"/>
                <w:color w:val="000000"/>
              </w:rPr>
              <w:t>Deaths Reviewed in line with SI Framework</w:t>
            </w:r>
          </w:p>
        </w:tc>
        <w:tc>
          <w:tcPr>
            <w:tcW w:w="1701" w:type="dxa"/>
            <w:tcBorders>
              <w:top w:val="single" w:sz="4" w:space="0" w:color="auto"/>
              <w:left w:val="nil"/>
              <w:bottom w:val="single" w:sz="4" w:space="0" w:color="auto"/>
              <w:right w:val="single" w:sz="4" w:space="0" w:color="auto"/>
            </w:tcBorders>
            <w:shd w:val="clear" w:color="000000" w:fill="B4C6E7"/>
            <w:vAlign w:val="center"/>
            <w:hideMark/>
          </w:tcPr>
          <w:p w14:paraId="11B473DA" w14:textId="77777777" w:rsidR="00D83151" w:rsidRPr="00BE0AED" w:rsidRDefault="00D83151" w:rsidP="00CA2CF2">
            <w:pPr>
              <w:spacing w:after="0" w:line="240" w:lineRule="auto"/>
              <w:jc w:val="center"/>
              <w:rPr>
                <w:rFonts w:ascii="Arial" w:eastAsia="Times New Roman" w:hAnsi="Arial" w:cs="Arial"/>
              </w:rPr>
            </w:pPr>
            <w:r w:rsidRPr="00BE0AED">
              <w:rPr>
                <w:rFonts w:ascii="Arial" w:eastAsia="Times New Roman" w:hAnsi="Arial" w:cs="Arial"/>
              </w:rPr>
              <w:t>Deaths reviewed through other investigation processes</w:t>
            </w:r>
          </w:p>
        </w:tc>
        <w:tc>
          <w:tcPr>
            <w:tcW w:w="1560" w:type="dxa"/>
            <w:tcBorders>
              <w:top w:val="single" w:sz="4" w:space="0" w:color="auto"/>
              <w:left w:val="nil"/>
              <w:bottom w:val="single" w:sz="4" w:space="0" w:color="auto"/>
              <w:right w:val="single" w:sz="4" w:space="0" w:color="auto"/>
            </w:tcBorders>
            <w:shd w:val="clear" w:color="000000" w:fill="B4C6E7"/>
            <w:vAlign w:val="center"/>
            <w:hideMark/>
          </w:tcPr>
          <w:p w14:paraId="52CD3661" w14:textId="77777777" w:rsidR="00D83151" w:rsidRPr="00BE0AED" w:rsidRDefault="00D83151" w:rsidP="00CA2CF2">
            <w:pPr>
              <w:spacing w:after="0" w:line="240" w:lineRule="auto"/>
              <w:jc w:val="center"/>
              <w:rPr>
                <w:rFonts w:ascii="Arial" w:eastAsia="Times New Roman" w:hAnsi="Arial" w:cs="Arial"/>
              </w:rPr>
            </w:pPr>
            <w:r w:rsidRPr="00BE0AED">
              <w:rPr>
                <w:rFonts w:ascii="Arial" w:eastAsia="Times New Roman" w:hAnsi="Arial" w:cs="Arial"/>
              </w:rPr>
              <w:t>Deaths subject to Structured Judgement Review</w:t>
            </w:r>
          </w:p>
        </w:tc>
        <w:tc>
          <w:tcPr>
            <w:tcW w:w="1559" w:type="dxa"/>
            <w:tcBorders>
              <w:top w:val="single" w:sz="4" w:space="0" w:color="auto"/>
              <w:left w:val="nil"/>
              <w:bottom w:val="single" w:sz="4" w:space="0" w:color="auto"/>
              <w:right w:val="single" w:sz="4" w:space="0" w:color="auto"/>
            </w:tcBorders>
            <w:shd w:val="clear" w:color="000000" w:fill="B4C6E7"/>
            <w:vAlign w:val="center"/>
            <w:hideMark/>
          </w:tcPr>
          <w:p w14:paraId="25AC0C52" w14:textId="77777777" w:rsidR="00D83151" w:rsidRPr="00BE0AED" w:rsidRDefault="00D83151" w:rsidP="00CA2CF2">
            <w:pPr>
              <w:spacing w:after="0" w:line="240" w:lineRule="auto"/>
              <w:jc w:val="center"/>
              <w:rPr>
                <w:rFonts w:ascii="Arial" w:eastAsia="Times New Roman" w:hAnsi="Arial" w:cs="Arial"/>
              </w:rPr>
            </w:pPr>
            <w:r w:rsidRPr="00BE0AED">
              <w:rPr>
                <w:rFonts w:ascii="Arial" w:eastAsia="Times New Roman" w:hAnsi="Arial" w:cs="Arial"/>
              </w:rPr>
              <w:t>Deaths where 48 hour review accepted (1st stage case note review)</w:t>
            </w:r>
          </w:p>
        </w:tc>
        <w:tc>
          <w:tcPr>
            <w:tcW w:w="1701" w:type="dxa"/>
            <w:tcBorders>
              <w:top w:val="single" w:sz="4" w:space="0" w:color="auto"/>
              <w:left w:val="nil"/>
              <w:bottom w:val="single" w:sz="4" w:space="0" w:color="auto"/>
              <w:right w:val="single" w:sz="4" w:space="0" w:color="auto"/>
            </w:tcBorders>
            <w:shd w:val="clear" w:color="000000" w:fill="B4C6E7"/>
            <w:vAlign w:val="center"/>
            <w:hideMark/>
          </w:tcPr>
          <w:p w14:paraId="54615A8A" w14:textId="77777777" w:rsidR="00D83151" w:rsidRPr="00BE0AED" w:rsidRDefault="00D83151" w:rsidP="00CA2CF2">
            <w:pPr>
              <w:spacing w:after="0" w:line="240" w:lineRule="auto"/>
              <w:jc w:val="center"/>
              <w:rPr>
                <w:rFonts w:ascii="Arial" w:eastAsia="Times New Roman" w:hAnsi="Arial" w:cs="Arial"/>
              </w:rPr>
            </w:pPr>
            <w:r w:rsidRPr="00BE0AED">
              <w:rPr>
                <w:rFonts w:ascii="Arial" w:eastAsia="Times New Roman" w:hAnsi="Arial" w:cs="Arial"/>
              </w:rPr>
              <w:t>Deaths Certified</w:t>
            </w:r>
          </w:p>
        </w:tc>
      </w:tr>
      <w:tr w:rsidR="00CA2CF2" w:rsidRPr="00BE0AED" w14:paraId="17155CD6" w14:textId="77777777" w:rsidTr="00CA2CF2">
        <w:trPr>
          <w:trHeight w:val="402"/>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3593DF68" w14:textId="77777777" w:rsidR="00D83151" w:rsidRPr="00BE0AED" w:rsidRDefault="00D83151" w:rsidP="00CA2CF2">
            <w:pPr>
              <w:spacing w:after="0" w:line="240" w:lineRule="auto"/>
              <w:rPr>
                <w:rFonts w:ascii="Arial" w:eastAsia="Times New Roman" w:hAnsi="Arial" w:cs="Arial"/>
                <w:b/>
                <w:bCs/>
                <w:color w:val="000000"/>
              </w:rPr>
            </w:pPr>
            <w:r>
              <w:rPr>
                <w:rFonts w:ascii="Arial" w:eastAsia="Times New Roman" w:hAnsi="Arial" w:cs="Arial"/>
                <w:b/>
                <w:bCs/>
                <w:color w:val="000000"/>
              </w:rPr>
              <w:t>Quarter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E6D61"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49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9E6D87C"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80BFA5E"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E90C283"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282F7AD"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5648AC2"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D2BDEF5"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23</w:t>
            </w:r>
          </w:p>
        </w:tc>
      </w:tr>
      <w:tr w:rsidR="00CA2CF2" w:rsidRPr="00BE0AED" w14:paraId="565A1CC6" w14:textId="77777777" w:rsidTr="00CA2CF2">
        <w:trPr>
          <w:trHeight w:val="402"/>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29972CB9" w14:textId="77777777" w:rsidR="00D83151" w:rsidRPr="00BE0AED" w:rsidRDefault="00D83151" w:rsidP="00CA2CF2">
            <w:pPr>
              <w:spacing w:after="0" w:line="240" w:lineRule="auto"/>
              <w:rPr>
                <w:rFonts w:ascii="Arial" w:eastAsia="Times New Roman" w:hAnsi="Arial" w:cs="Arial"/>
                <w:b/>
                <w:bCs/>
                <w:color w:val="000000"/>
              </w:rPr>
            </w:pPr>
            <w:r>
              <w:rPr>
                <w:rFonts w:ascii="Arial" w:eastAsia="Times New Roman" w:hAnsi="Arial" w:cs="Arial"/>
                <w:b/>
                <w:bCs/>
                <w:color w:val="000000"/>
              </w:rPr>
              <w:t>Quarter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B8AC7"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47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527B868"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FDA2587"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1</w:t>
            </w:r>
            <w:r w:rsidR="00916033">
              <w:rPr>
                <w:rFonts w:ascii="Arial" w:eastAsia="Times New Roman" w:hAnsi="Arial" w:cs="Arial"/>
                <w:b/>
                <w:bCs/>
                <w:color w:val="000000"/>
              </w:rPr>
              <w:t>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EDE8B46"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A91F777"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CCF4D72" w14:textId="77777777" w:rsidR="00D83151" w:rsidRPr="00BE0AED" w:rsidRDefault="00916033" w:rsidP="00CA2CF2">
            <w:pPr>
              <w:spacing w:after="0" w:line="240" w:lineRule="auto"/>
              <w:jc w:val="center"/>
              <w:rPr>
                <w:rFonts w:ascii="Arial" w:eastAsia="Times New Roman" w:hAnsi="Arial" w:cs="Arial"/>
                <w:b/>
                <w:bCs/>
                <w:color w:val="000000"/>
              </w:rPr>
            </w:pPr>
            <w:r>
              <w:rPr>
                <w:rFonts w:ascii="Arial" w:eastAsia="Times New Roman" w:hAnsi="Arial" w:cs="Arial"/>
                <w:b/>
                <w:bCs/>
                <w:color w:val="000000"/>
              </w:rPr>
              <w:t>15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7DAF79C"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13</w:t>
            </w:r>
          </w:p>
        </w:tc>
      </w:tr>
      <w:tr w:rsidR="00CA2CF2" w:rsidRPr="00BE0AED" w14:paraId="7B09A9E5" w14:textId="77777777" w:rsidTr="00CA2CF2">
        <w:trPr>
          <w:trHeight w:val="402"/>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5A0EB07E" w14:textId="77777777" w:rsidR="00D83151" w:rsidRPr="00BE0AED" w:rsidRDefault="00D83151" w:rsidP="00CA2CF2">
            <w:pPr>
              <w:spacing w:after="0" w:line="240" w:lineRule="auto"/>
              <w:rPr>
                <w:rFonts w:ascii="Arial" w:eastAsia="Times New Roman" w:hAnsi="Arial" w:cs="Arial"/>
                <w:b/>
                <w:bCs/>
                <w:color w:val="000000"/>
              </w:rPr>
            </w:pPr>
            <w:r>
              <w:rPr>
                <w:rFonts w:ascii="Arial" w:eastAsia="Times New Roman" w:hAnsi="Arial" w:cs="Arial"/>
                <w:b/>
                <w:bCs/>
                <w:color w:val="000000"/>
              </w:rPr>
              <w:t>Quarter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5C671" w14:textId="77777777" w:rsidR="00D83151" w:rsidRPr="00BE0AED" w:rsidRDefault="00916033" w:rsidP="00CA2CF2">
            <w:pPr>
              <w:spacing w:after="0" w:line="240" w:lineRule="auto"/>
              <w:jc w:val="center"/>
              <w:rPr>
                <w:rFonts w:ascii="Arial" w:eastAsia="Times New Roman" w:hAnsi="Arial" w:cs="Arial"/>
                <w:b/>
                <w:bCs/>
                <w:color w:val="000000"/>
              </w:rPr>
            </w:pPr>
            <w:r>
              <w:rPr>
                <w:rFonts w:ascii="Arial" w:eastAsia="Times New Roman" w:hAnsi="Arial" w:cs="Arial"/>
                <w:b/>
                <w:bCs/>
                <w:color w:val="000000"/>
              </w:rPr>
              <w:t>72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CEA8969"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CA64901"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24B71C2"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357FF20"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1E33013"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16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3B828FF" w14:textId="77777777" w:rsidR="00D83151" w:rsidRPr="00BE0AED" w:rsidRDefault="00916033" w:rsidP="00CA2CF2">
            <w:pPr>
              <w:spacing w:after="0" w:line="240" w:lineRule="auto"/>
              <w:jc w:val="center"/>
              <w:rPr>
                <w:rFonts w:ascii="Arial" w:eastAsia="Times New Roman" w:hAnsi="Arial" w:cs="Arial"/>
                <w:b/>
                <w:bCs/>
                <w:color w:val="000000"/>
              </w:rPr>
            </w:pPr>
            <w:r>
              <w:rPr>
                <w:rFonts w:ascii="Arial" w:eastAsia="Times New Roman" w:hAnsi="Arial" w:cs="Arial"/>
                <w:b/>
                <w:bCs/>
                <w:color w:val="000000"/>
              </w:rPr>
              <w:t>35</w:t>
            </w:r>
          </w:p>
        </w:tc>
      </w:tr>
      <w:tr w:rsidR="00CA2CF2" w:rsidRPr="00BE0AED" w14:paraId="2F718C9A" w14:textId="77777777" w:rsidTr="00CA2CF2">
        <w:trPr>
          <w:trHeight w:val="402"/>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3CC7A3F6" w14:textId="77777777" w:rsidR="00D83151" w:rsidRPr="00BE0AED" w:rsidRDefault="00D83151" w:rsidP="00CA2CF2">
            <w:pPr>
              <w:spacing w:after="0" w:line="240" w:lineRule="auto"/>
              <w:rPr>
                <w:rFonts w:ascii="Arial" w:eastAsia="Times New Roman" w:hAnsi="Arial" w:cs="Arial"/>
                <w:b/>
                <w:bCs/>
                <w:color w:val="000000"/>
              </w:rPr>
            </w:pPr>
            <w:r>
              <w:rPr>
                <w:rFonts w:ascii="Arial" w:eastAsia="Times New Roman" w:hAnsi="Arial" w:cs="Arial"/>
                <w:b/>
                <w:bCs/>
                <w:color w:val="000000"/>
              </w:rPr>
              <w:t>Quarter 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9F240"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69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6FF71F2"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0C30B95"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10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5A03596"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E3488E4"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0748505"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16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11FE3C3"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34</w:t>
            </w:r>
          </w:p>
        </w:tc>
      </w:tr>
      <w:tr w:rsidR="00CA2CF2" w:rsidRPr="00BE0AED" w14:paraId="23C6E520" w14:textId="77777777" w:rsidTr="00CA2CF2">
        <w:trPr>
          <w:trHeight w:val="402"/>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322BC4D7" w14:textId="77777777" w:rsidR="00D83151" w:rsidRPr="00BE0AED" w:rsidRDefault="00D83151" w:rsidP="00CA2CF2">
            <w:pPr>
              <w:spacing w:after="0" w:line="240" w:lineRule="auto"/>
              <w:rPr>
                <w:rFonts w:ascii="Arial" w:eastAsia="Times New Roman" w:hAnsi="Arial" w:cs="Arial"/>
                <w:b/>
                <w:bCs/>
                <w:color w:val="000000"/>
              </w:rPr>
            </w:pPr>
            <w:r>
              <w:rPr>
                <w:rFonts w:ascii="Arial" w:eastAsia="Times New Roman" w:hAnsi="Arial" w:cs="Arial"/>
                <w:b/>
                <w:bCs/>
                <w:color w:val="000000"/>
              </w:rPr>
              <w:t>Year total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B3E3A" w14:textId="77777777" w:rsidR="00D83151" w:rsidRPr="00BE0AED" w:rsidRDefault="00FE6AC6" w:rsidP="00CA2CF2">
            <w:pPr>
              <w:spacing w:after="0" w:line="240" w:lineRule="auto"/>
              <w:jc w:val="center"/>
              <w:rPr>
                <w:rFonts w:ascii="Arial" w:eastAsia="Times New Roman" w:hAnsi="Arial" w:cs="Arial"/>
                <w:b/>
                <w:bCs/>
                <w:color w:val="000000"/>
              </w:rPr>
            </w:pPr>
            <w:r>
              <w:rPr>
                <w:rFonts w:ascii="Arial" w:eastAsia="Times New Roman" w:hAnsi="Arial" w:cs="Arial"/>
                <w:b/>
                <w:bCs/>
                <w:color w:val="000000"/>
              </w:rPr>
              <w:t>237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9FF13E9"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9AB8724" w14:textId="77777777" w:rsidR="00D83151" w:rsidRPr="00BE0AED" w:rsidRDefault="00916033" w:rsidP="00CA2CF2">
            <w:pPr>
              <w:spacing w:after="0" w:line="240" w:lineRule="auto"/>
              <w:jc w:val="center"/>
              <w:rPr>
                <w:rFonts w:ascii="Arial" w:eastAsia="Times New Roman" w:hAnsi="Arial" w:cs="Arial"/>
                <w:b/>
                <w:bCs/>
                <w:color w:val="000000"/>
              </w:rPr>
            </w:pPr>
            <w:r>
              <w:rPr>
                <w:rFonts w:ascii="Arial" w:eastAsia="Times New Roman" w:hAnsi="Arial" w:cs="Arial"/>
                <w:b/>
                <w:bCs/>
                <w:color w:val="000000"/>
              </w:rPr>
              <w:t>37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46C6470"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D562042"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31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C2082AE" w14:textId="77777777" w:rsidR="00D83151" w:rsidRPr="00BE0AED" w:rsidRDefault="00916033" w:rsidP="00CA2CF2">
            <w:pPr>
              <w:spacing w:after="0" w:line="240" w:lineRule="auto"/>
              <w:jc w:val="center"/>
              <w:rPr>
                <w:rFonts w:ascii="Arial" w:eastAsia="Times New Roman" w:hAnsi="Arial" w:cs="Arial"/>
                <w:b/>
                <w:bCs/>
                <w:color w:val="000000"/>
              </w:rPr>
            </w:pPr>
            <w:r>
              <w:rPr>
                <w:rFonts w:ascii="Arial" w:eastAsia="Times New Roman" w:hAnsi="Arial" w:cs="Arial"/>
                <w:b/>
                <w:bCs/>
                <w:color w:val="000000"/>
              </w:rPr>
              <w:t>55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6422D0C"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106</w:t>
            </w:r>
          </w:p>
        </w:tc>
      </w:tr>
    </w:tbl>
    <w:p w14:paraId="2BB367ED" w14:textId="77777777" w:rsidR="008B79B3" w:rsidRPr="008B79B3" w:rsidRDefault="008B79B3" w:rsidP="00573B13">
      <w:pPr>
        <w:spacing w:before="240"/>
        <w:rPr>
          <w:rFonts w:ascii="Arial" w:eastAsia="Times New Roman" w:hAnsi="Arial" w:cs="Arial"/>
          <w:bCs/>
          <w:sz w:val="24"/>
          <w:szCs w:val="24"/>
        </w:rPr>
      </w:pPr>
      <w:r w:rsidRPr="008B79B3">
        <w:rPr>
          <w:rFonts w:ascii="Arial" w:eastAsia="Times New Roman" w:hAnsi="Arial" w:cs="Arial"/>
          <w:b/>
          <w:bCs/>
          <w:sz w:val="24"/>
          <w:szCs w:val="24"/>
        </w:rPr>
        <w:t xml:space="preserve">Table 4: Summary of total number of Learning Disability deaths which were in scope </w:t>
      </w:r>
    </w:p>
    <w:tbl>
      <w:tblPr>
        <w:tblW w:w="9573" w:type="dxa"/>
        <w:tblInd w:w="93" w:type="dxa"/>
        <w:tblLook w:val="04A0" w:firstRow="1" w:lastRow="0" w:firstColumn="1" w:lastColumn="0" w:noHBand="0" w:noVBand="1"/>
      </w:tblPr>
      <w:tblGrid>
        <w:gridCol w:w="1575"/>
        <w:gridCol w:w="1559"/>
        <w:gridCol w:w="1559"/>
        <w:gridCol w:w="1559"/>
        <w:gridCol w:w="1701"/>
        <w:gridCol w:w="1620"/>
      </w:tblGrid>
      <w:tr w:rsidR="00D83151" w:rsidRPr="00BE0AED" w14:paraId="74C62E33" w14:textId="77777777" w:rsidTr="00CA2CF2">
        <w:trPr>
          <w:trHeight w:val="1770"/>
        </w:trPr>
        <w:tc>
          <w:tcPr>
            <w:tcW w:w="1575" w:type="dxa"/>
            <w:tcBorders>
              <w:top w:val="single" w:sz="4" w:space="0" w:color="auto"/>
              <w:left w:val="single" w:sz="4" w:space="0" w:color="auto"/>
              <w:bottom w:val="single" w:sz="4" w:space="0" w:color="auto"/>
              <w:right w:val="single" w:sz="4" w:space="0" w:color="auto"/>
            </w:tcBorders>
            <w:shd w:val="clear" w:color="000000" w:fill="B4C6E7"/>
            <w:vAlign w:val="center"/>
          </w:tcPr>
          <w:p w14:paraId="1CA6B7C8" w14:textId="77777777" w:rsidR="00D83151" w:rsidRPr="00BE0AED" w:rsidRDefault="00D83151" w:rsidP="00D83151">
            <w:pPr>
              <w:spacing w:after="0" w:line="240" w:lineRule="auto"/>
              <w:jc w:val="center"/>
              <w:rPr>
                <w:rFonts w:ascii="Arial" w:eastAsia="Times New Roman" w:hAnsi="Arial"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42E52E7A" w14:textId="77777777" w:rsidR="00D83151" w:rsidRPr="00BE0AED" w:rsidRDefault="00D83151" w:rsidP="00D83151">
            <w:pPr>
              <w:spacing w:after="0" w:line="240" w:lineRule="auto"/>
              <w:jc w:val="center"/>
              <w:rPr>
                <w:rFonts w:ascii="Arial" w:eastAsia="Times New Roman" w:hAnsi="Arial" w:cs="Arial"/>
                <w:color w:val="000000"/>
              </w:rPr>
            </w:pPr>
            <w:r w:rsidRPr="00BE0AED">
              <w:rPr>
                <w:rFonts w:ascii="Arial" w:eastAsia="Times New Roman" w:hAnsi="Arial" w:cs="Arial"/>
                <w:color w:val="000000"/>
              </w:rPr>
              <w:t>Total Number of Learning Disability Deaths in scope</w:t>
            </w:r>
          </w:p>
        </w:tc>
        <w:tc>
          <w:tcPr>
            <w:tcW w:w="1559" w:type="dxa"/>
            <w:tcBorders>
              <w:top w:val="single" w:sz="4" w:space="0" w:color="auto"/>
              <w:left w:val="nil"/>
              <w:bottom w:val="single" w:sz="4" w:space="0" w:color="auto"/>
              <w:right w:val="single" w:sz="4" w:space="0" w:color="auto"/>
            </w:tcBorders>
            <w:shd w:val="clear" w:color="000000" w:fill="B4C6E7"/>
            <w:vAlign w:val="center"/>
            <w:hideMark/>
          </w:tcPr>
          <w:p w14:paraId="6D34C859" w14:textId="77777777" w:rsidR="00D83151" w:rsidRPr="00BE0AED" w:rsidRDefault="00D83151" w:rsidP="00D83151">
            <w:pPr>
              <w:spacing w:after="0" w:line="240" w:lineRule="auto"/>
              <w:jc w:val="center"/>
              <w:rPr>
                <w:rFonts w:ascii="Arial" w:eastAsia="Times New Roman" w:hAnsi="Arial" w:cs="Arial"/>
                <w:color w:val="000000"/>
              </w:rPr>
            </w:pPr>
            <w:r w:rsidRPr="00BE0AED">
              <w:rPr>
                <w:rFonts w:ascii="Arial" w:eastAsia="Times New Roman" w:hAnsi="Arial" w:cs="Arial"/>
                <w:color w:val="000000"/>
              </w:rPr>
              <w:t>In-Patient Deaths</w:t>
            </w:r>
          </w:p>
        </w:tc>
        <w:tc>
          <w:tcPr>
            <w:tcW w:w="1559" w:type="dxa"/>
            <w:tcBorders>
              <w:top w:val="single" w:sz="4" w:space="0" w:color="auto"/>
              <w:left w:val="nil"/>
              <w:bottom w:val="single" w:sz="4" w:space="0" w:color="auto"/>
              <w:right w:val="single" w:sz="4" w:space="0" w:color="auto"/>
            </w:tcBorders>
            <w:shd w:val="clear" w:color="000000" w:fill="B4C6E7"/>
            <w:vAlign w:val="center"/>
            <w:hideMark/>
          </w:tcPr>
          <w:p w14:paraId="1CF6E9DB" w14:textId="77777777" w:rsidR="00D83151" w:rsidRPr="00BE0AED" w:rsidRDefault="00D83151" w:rsidP="00D83151">
            <w:pPr>
              <w:spacing w:after="0" w:line="240" w:lineRule="auto"/>
              <w:jc w:val="center"/>
              <w:rPr>
                <w:rFonts w:ascii="Arial" w:eastAsia="Times New Roman" w:hAnsi="Arial" w:cs="Arial"/>
                <w:color w:val="000000"/>
              </w:rPr>
            </w:pPr>
            <w:r w:rsidRPr="00BE0AED">
              <w:rPr>
                <w:rFonts w:ascii="Arial" w:eastAsia="Times New Roman" w:hAnsi="Arial" w:cs="Arial"/>
                <w:color w:val="000000"/>
              </w:rPr>
              <w:t>Deaths Reviewed internally</w:t>
            </w:r>
          </w:p>
        </w:tc>
        <w:tc>
          <w:tcPr>
            <w:tcW w:w="1701" w:type="dxa"/>
            <w:tcBorders>
              <w:top w:val="single" w:sz="4" w:space="0" w:color="auto"/>
              <w:left w:val="nil"/>
              <w:bottom w:val="single" w:sz="4" w:space="0" w:color="auto"/>
              <w:right w:val="single" w:sz="4" w:space="0" w:color="auto"/>
            </w:tcBorders>
            <w:shd w:val="clear" w:color="000000" w:fill="B4C6E7"/>
            <w:vAlign w:val="center"/>
            <w:hideMark/>
          </w:tcPr>
          <w:p w14:paraId="47764336" w14:textId="77777777" w:rsidR="00D83151" w:rsidRPr="00BE0AED" w:rsidRDefault="00D83151" w:rsidP="00D83151">
            <w:pPr>
              <w:spacing w:after="0" w:line="240" w:lineRule="auto"/>
              <w:jc w:val="center"/>
              <w:rPr>
                <w:rFonts w:ascii="Arial" w:eastAsia="Times New Roman" w:hAnsi="Arial" w:cs="Arial"/>
                <w:color w:val="000000"/>
              </w:rPr>
            </w:pPr>
            <w:r w:rsidRPr="00BE0AED">
              <w:rPr>
                <w:rFonts w:ascii="Arial" w:eastAsia="Times New Roman" w:hAnsi="Arial" w:cs="Arial"/>
                <w:color w:val="000000"/>
              </w:rPr>
              <w:t>Deaths reported through LeDer (By SWYPFT)</w:t>
            </w:r>
          </w:p>
        </w:tc>
        <w:tc>
          <w:tcPr>
            <w:tcW w:w="1620" w:type="dxa"/>
            <w:tcBorders>
              <w:top w:val="single" w:sz="4" w:space="0" w:color="auto"/>
              <w:left w:val="nil"/>
              <w:bottom w:val="single" w:sz="4" w:space="0" w:color="auto"/>
              <w:right w:val="single" w:sz="4" w:space="0" w:color="auto"/>
            </w:tcBorders>
            <w:shd w:val="clear" w:color="000000" w:fill="B4C6E7"/>
            <w:vAlign w:val="center"/>
            <w:hideMark/>
          </w:tcPr>
          <w:p w14:paraId="1EFD417D" w14:textId="77777777" w:rsidR="00D83151" w:rsidRPr="00BE0AED" w:rsidRDefault="00D83151" w:rsidP="00D83151">
            <w:pPr>
              <w:spacing w:after="0" w:line="240" w:lineRule="auto"/>
              <w:jc w:val="center"/>
              <w:rPr>
                <w:rFonts w:ascii="Arial" w:eastAsia="Times New Roman" w:hAnsi="Arial" w:cs="Arial"/>
                <w:color w:val="000000"/>
              </w:rPr>
            </w:pPr>
            <w:r w:rsidRPr="00BE0AED">
              <w:rPr>
                <w:rFonts w:ascii="Arial" w:eastAsia="Times New Roman" w:hAnsi="Arial" w:cs="Arial"/>
                <w:color w:val="000000"/>
              </w:rPr>
              <w:t>Deaths reported through LeDer (By other organisation)</w:t>
            </w:r>
          </w:p>
        </w:tc>
      </w:tr>
      <w:tr w:rsidR="00D83151" w:rsidRPr="00BE0AED" w14:paraId="29066A2E" w14:textId="77777777" w:rsidTr="00CA2CF2">
        <w:trPr>
          <w:trHeight w:val="402"/>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71E759E7" w14:textId="77777777" w:rsidR="00D83151" w:rsidRPr="00BE0AED" w:rsidRDefault="00D83151" w:rsidP="00CA2CF2">
            <w:pPr>
              <w:spacing w:after="0" w:line="240" w:lineRule="auto"/>
              <w:rPr>
                <w:rFonts w:ascii="Arial" w:eastAsia="Times New Roman" w:hAnsi="Arial" w:cs="Arial"/>
                <w:b/>
                <w:bCs/>
                <w:color w:val="000000"/>
              </w:rPr>
            </w:pPr>
            <w:r>
              <w:rPr>
                <w:rFonts w:ascii="Arial" w:eastAsia="Times New Roman" w:hAnsi="Arial" w:cs="Arial"/>
                <w:b/>
                <w:bCs/>
                <w:color w:val="000000"/>
              </w:rPr>
              <w:t>Quarter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0EB07"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14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DF54BFA"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67086E5"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14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5F3C733"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14</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442DB85C"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0</w:t>
            </w:r>
          </w:p>
        </w:tc>
      </w:tr>
      <w:tr w:rsidR="00D83151" w:rsidRPr="00BE0AED" w14:paraId="40ACCBCE" w14:textId="77777777" w:rsidTr="00CA2CF2">
        <w:trPr>
          <w:trHeight w:val="402"/>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7624287F" w14:textId="77777777" w:rsidR="00D83151" w:rsidRPr="00BE0AED" w:rsidRDefault="00D83151" w:rsidP="00CA2CF2">
            <w:pPr>
              <w:spacing w:after="0" w:line="240" w:lineRule="auto"/>
              <w:rPr>
                <w:rFonts w:ascii="Arial" w:eastAsia="Times New Roman" w:hAnsi="Arial" w:cs="Arial"/>
                <w:b/>
                <w:bCs/>
                <w:color w:val="000000"/>
              </w:rPr>
            </w:pPr>
            <w:r>
              <w:rPr>
                <w:rFonts w:ascii="Arial" w:eastAsia="Times New Roman" w:hAnsi="Arial" w:cs="Arial"/>
                <w:b/>
                <w:bCs/>
                <w:color w:val="000000"/>
              </w:rPr>
              <w:t>Quarter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27C68"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14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FDB8DC0"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4D9F524"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14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89E1941"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14</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443BAEC6"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0</w:t>
            </w:r>
          </w:p>
        </w:tc>
      </w:tr>
      <w:tr w:rsidR="00D83151" w:rsidRPr="00BE0AED" w14:paraId="24A7ED1D" w14:textId="77777777" w:rsidTr="00CA2CF2">
        <w:trPr>
          <w:trHeight w:val="402"/>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40136A90" w14:textId="77777777" w:rsidR="00D83151" w:rsidRPr="00BE0AED" w:rsidRDefault="00D83151" w:rsidP="00CA2CF2">
            <w:pPr>
              <w:spacing w:after="0" w:line="240" w:lineRule="auto"/>
              <w:rPr>
                <w:rFonts w:ascii="Arial" w:eastAsia="Times New Roman" w:hAnsi="Arial" w:cs="Arial"/>
                <w:b/>
                <w:bCs/>
                <w:color w:val="000000"/>
              </w:rPr>
            </w:pPr>
            <w:r>
              <w:rPr>
                <w:rFonts w:ascii="Arial" w:eastAsia="Times New Roman" w:hAnsi="Arial" w:cs="Arial"/>
                <w:b/>
                <w:bCs/>
                <w:color w:val="000000"/>
              </w:rPr>
              <w:t>Quarter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BF027"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D68D9D7"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A79E67F"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18C645D"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41F30F8A"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0</w:t>
            </w:r>
          </w:p>
        </w:tc>
      </w:tr>
      <w:tr w:rsidR="00D83151" w:rsidRPr="00BE0AED" w14:paraId="2DE377D7" w14:textId="77777777" w:rsidTr="00CA2CF2">
        <w:trPr>
          <w:trHeight w:val="402"/>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59402C0E" w14:textId="77777777" w:rsidR="00D83151" w:rsidRPr="00BE0AED" w:rsidRDefault="00D83151" w:rsidP="00CA2CF2">
            <w:pPr>
              <w:spacing w:after="0" w:line="240" w:lineRule="auto"/>
              <w:rPr>
                <w:rFonts w:ascii="Arial" w:eastAsia="Times New Roman" w:hAnsi="Arial" w:cs="Arial"/>
                <w:b/>
                <w:bCs/>
                <w:color w:val="000000"/>
              </w:rPr>
            </w:pPr>
            <w:r>
              <w:rPr>
                <w:rFonts w:ascii="Arial" w:eastAsia="Times New Roman" w:hAnsi="Arial" w:cs="Arial"/>
                <w:b/>
                <w:bCs/>
                <w:color w:val="000000"/>
              </w:rPr>
              <w:t>Quarter 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6E99C"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13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E9CB4F3"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CD6BFB9"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585CFFC"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12</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1988BDBB"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1</w:t>
            </w:r>
          </w:p>
        </w:tc>
      </w:tr>
      <w:tr w:rsidR="00D83151" w:rsidRPr="00BE0AED" w14:paraId="29F8D707" w14:textId="77777777" w:rsidTr="00CA2CF2">
        <w:trPr>
          <w:trHeight w:val="402"/>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0A7942D5" w14:textId="77777777" w:rsidR="00D83151" w:rsidRPr="00BE0AED" w:rsidRDefault="00D83151" w:rsidP="00CA2CF2">
            <w:pPr>
              <w:spacing w:after="0" w:line="240" w:lineRule="auto"/>
              <w:rPr>
                <w:rFonts w:ascii="Arial" w:eastAsia="Times New Roman" w:hAnsi="Arial" w:cs="Arial"/>
                <w:b/>
                <w:bCs/>
                <w:color w:val="000000"/>
              </w:rPr>
            </w:pPr>
            <w:r>
              <w:rPr>
                <w:rFonts w:ascii="Arial" w:eastAsia="Times New Roman" w:hAnsi="Arial" w:cs="Arial"/>
                <w:b/>
                <w:bCs/>
                <w:color w:val="000000"/>
              </w:rPr>
              <w:t>Year total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5A30B"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49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84CC9A5"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4E080F4"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49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3BFEB74"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48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34B8A0AD" w14:textId="77777777" w:rsidR="00D83151" w:rsidRPr="00BE0AED" w:rsidRDefault="00D83151" w:rsidP="00CA2CF2">
            <w:pPr>
              <w:spacing w:after="0" w:line="240" w:lineRule="auto"/>
              <w:jc w:val="center"/>
              <w:rPr>
                <w:rFonts w:ascii="Arial" w:eastAsia="Times New Roman" w:hAnsi="Arial" w:cs="Arial"/>
                <w:b/>
                <w:bCs/>
                <w:color w:val="000000"/>
              </w:rPr>
            </w:pPr>
            <w:r w:rsidRPr="00BE0AED">
              <w:rPr>
                <w:rFonts w:ascii="Arial" w:eastAsia="Times New Roman" w:hAnsi="Arial" w:cs="Arial"/>
                <w:b/>
                <w:bCs/>
                <w:color w:val="000000"/>
              </w:rPr>
              <w:t>1</w:t>
            </w:r>
          </w:p>
        </w:tc>
      </w:tr>
    </w:tbl>
    <w:p w14:paraId="4A28D12A" w14:textId="21FF282E" w:rsidR="00573B13" w:rsidRPr="00573B13" w:rsidRDefault="00CD58D8" w:rsidP="00573B13">
      <w:pPr>
        <w:spacing w:line="240" w:lineRule="auto"/>
        <w:ind w:right="66"/>
        <w:rPr>
          <w:rFonts w:cs="Arial"/>
          <w:noProof/>
        </w:rPr>
      </w:pPr>
      <w:r w:rsidRPr="00951BD5">
        <w:rPr>
          <w:rFonts w:cs="Arial"/>
          <w:noProof/>
        </w:rPr>
        <w:t xml:space="preserve">In line with national reporting of deaths, we are required to separate our reporting of in scope deaths </w:t>
      </w:r>
      <w:r>
        <w:rPr>
          <w:rFonts w:cs="Arial"/>
          <w:noProof/>
        </w:rPr>
        <w:t>into</w:t>
      </w:r>
      <w:r w:rsidRPr="00951BD5">
        <w:rPr>
          <w:rFonts w:cs="Arial"/>
          <w:noProof/>
        </w:rPr>
        <w:t xml:space="preserve"> </w:t>
      </w:r>
      <w:r w:rsidRPr="00573B13">
        <w:rPr>
          <w:rFonts w:cs="Arial"/>
          <w:noProof/>
        </w:rPr>
        <w:t xml:space="preserve">learning disability deaths and all other deaths.  </w:t>
      </w:r>
      <w:r w:rsidR="00573B13">
        <w:rPr>
          <w:rFonts w:cs="Arial"/>
          <w:noProof/>
        </w:rPr>
        <w:t xml:space="preserve"> </w:t>
      </w:r>
      <w:r w:rsidRPr="00573B13">
        <w:rPr>
          <w:rFonts w:cs="Arial"/>
          <w:noProof/>
        </w:rPr>
        <w:t>All Learning disbaility dealths have to be reported on LeDeR</w:t>
      </w:r>
      <w:r w:rsidRPr="00573B13">
        <w:rPr>
          <w:rStyle w:val="FootnoteReference"/>
          <w:rFonts w:cs="Arial"/>
          <w:noProof/>
        </w:rPr>
        <w:footnoteReference w:id="1"/>
      </w:r>
      <w:r w:rsidR="00573B13" w:rsidRPr="00573B13">
        <w:rPr>
          <w:rFonts w:cs="Arial"/>
          <w:noProof/>
        </w:rPr>
        <w:t>.</w:t>
      </w:r>
    </w:p>
    <w:sectPr w:rsidR="00573B13" w:rsidRPr="00573B13" w:rsidSect="00573B13">
      <w:pgSz w:w="16838" w:h="11906" w:orient="landscape"/>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99C2F" w14:textId="77777777" w:rsidR="00916033" w:rsidRDefault="00916033">
      <w:pPr>
        <w:spacing w:after="0" w:line="240" w:lineRule="auto"/>
      </w:pPr>
      <w:r>
        <w:separator/>
      </w:r>
    </w:p>
  </w:endnote>
  <w:endnote w:type="continuationSeparator" w:id="0">
    <w:p w14:paraId="451381BE" w14:textId="77777777" w:rsidR="00916033" w:rsidRDefault="00916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D6290" w14:textId="77777777" w:rsidR="00916033" w:rsidRDefault="00916033">
      <w:pPr>
        <w:spacing w:after="0" w:line="240" w:lineRule="auto"/>
      </w:pPr>
      <w:r>
        <w:separator/>
      </w:r>
    </w:p>
  </w:footnote>
  <w:footnote w:type="continuationSeparator" w:id="0">
    <w:p w14:paraId="2C612F84" w14:textId="77777777" w:rsidR="00916033" w:rsidRDefault="00916033">
      <w:pPr>
        <w:spacing w:after="0" w:line="240" w:lineRule="auto"/>
      </w:pPr>
      <w:r>
        <w:continuationSeparator/>
      </w:r>
    </w:p>
  </w:footnote>
  <w:footnote w:id="1">
    <w:p w14:paraId="5A072345" w14:textId="77777777" w:rsidR="00916033" w:rsidRDefault="00916033" w:rsidP="00CD58D8">
      <w:pPr>
        <w:pStyle w:val="FootnoteText"/>
      </w:pPr>
      <w:r w:rsidRPr="00573B13">
        <w:rPr>
          <w:rStyle w:val="FootnoteReference"/>
        </w:rPr>
        <w:footnoteRef/>
      </w:r>
      <w:r w:rsidRPr="00573B13">
        <w:t xml:space="preserve"> </w:t>
      </w:r>
      <w:r w:rsidRPr="00573B13">
        <w:rPr>
          <w:rFonts w:ascii="Arial" w:hAnsi="Arial" w:cs="Arial"/>
          <w:lang w:bidi="en-US"/>
        </w:rPr>
        <w:t>Learning Disability Mortality Review programme (LeDeR)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06D3"/>
    <w:multiLevelType w:val="hybridMultilevel"/>
    <w:tmpl w:val="0556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0638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EF26E6"/>
    <w:multiLevelType w:val="hybridMultilevel"/>
    <w:tmpl w:val="0458D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349C4"/>
    <w:multiLevelType w:val="hybridMultilevel"/>
    <w:tmpl w:val="3FDA13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B8746A"/>
    <w:multiLevelType w:val="hybridMultilevel"/>
    <w:tmpl w:val="BCFE1548"/>
    <w:lvl w:ilvl="0" w:tplc="271A589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2A0CAA"/>
    <w:multiLevelType w:val="hybridMultilevel"/>
    <w:tmpl w:val="259AFE14"/>
    <w:lvl w:ilvl="0" w:tplc="A094D2A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37AC9"/>
    <w:multiLevelType w:val="hybridMultilevel"/>
    <w:tmpl w:val="CECE4B14"/>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5085F69"/>
    <w:multiLevelType w:val="hybridMultilevel"/>
    <w:tmpl w:val="2E2C9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622A32"/>
    <w:multiLevelType w:val="hybridMultilevel"/>
    <w:tmpl w:val="1456A072"/>
    <w:lvl w:ilvl="0" w:tplc="271A58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2A35AA"/>
    <w:multiLevelType w:val="hybridMultilevel"/>
    <w:tmpl w:val="023C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80107"/>
    <w:multiLevelType w:val="hybridMultilevel"/>
    <w:tmpl w:val="10F4E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EB08D9"/>
    <w:multiLevelType w:val="hybridMultilevel"/>
    <w:tmpl w:val="4858F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83A39F6"/>
    <w:multiLevelType w:val="hybridMultilevel"/>
    <w:tmpl w:val="349234F2"/>
    <w:lvl w:ilvl="0" w:tplc="CB24E2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E83727"/>
    <w:multiLevelType w:val="hybridMultilevel"/>
    <w:tmpl w:val="461E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714F53"/>
    <w:multiLevelType w:val="hybridMultilevel"/>
    <w:tmpl w:val="B8E6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37250"/>
    <w:multiLevelType w:val="hybridMultilevel"/>
    <w:tmpl w:val="6A885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567240"/>
    <w:multiLevelType w:val="hybridMultilevel"/>
    <w:tmpl w:val="E73CABC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DA03471"/>
    <w:multiLevelType w:val="multilevel"/>
    <w:tmpl w:val="857A26D2"/>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567879E7"/>
    <w:multiLevelType w:val="hybridMultilevel"/>
    <w:tmpl w:val="E2C64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AD4DB6"/>
    <w:multiLevelType w:val="hybridMultilevel"/>
    <w:tmpl w:val="0D909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F24101"/>
    <w:multiLevelType w:val="hybridMultilevel"/>
    <w:tmpl w:val="AC6E9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8F31EA"/>
    <w:multiLevelType w:val="hybridMultilevel"/>
    <w:tmpl w:val="4484E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86E1877"/>
    <w:multiLevelType w:val="hybridMultilevel"/>
    <w:tmpl w:val="A7364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A1D18DE"/>
    <w:multiLevelType w:val="hybridMultilevel"/>
    <w:tmpl w:val="6CB8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AD4851"/>
    <w:multiLevelType w:val="hybridMultilevel"/>
    <w:tmpl w:val="0D921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00A10C9"/>
    <w:multiLevelType w:val="hybridMultilevel"/>
    <w:tmpl w:val="465EF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ACB0344"/>
    <w:multiLevelType w:val="multilevel"/>
    <w:tmpl w:val="D632F5F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BA422B6"/>
    <w:multiLevelType w:val="hybridMultilevel"/>
    <w:tmpl w:val="48241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9826B7"/>
    <w:multiLevelType w:val="hybridMultilevel"/>
    <w:tmpl w:val="C62C2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6641B6"/>
    <w:multiLevelType w:val="hybridMultilevel"/>
    <w:tmpl w:val="31BA0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6"/>
  </w:num>
  <w:num w:numId="5">
    <w:abstractNumId w:val="23"/>
  </w:num>
  <w:num w:numId="6">
    <w:abstractNumId w:val="24"/>
  </w:num>
  <w:num w:numId="7">
    <w:abstractNumId w:val="14"/>
  </w:num>
  <w:num w:numId="8">
    <w:abstractNumId w:val="27"/>
  </w:num>
  <w:num w:numId="9">
    <w:abstractNumId w:val="20"/>
  </w:num>
  <w:num w:numId="10">
    <w:abstractNumId w:val="0"/>
  </w:num>
  <w:num w:numId="11">
    <w:abstractNumId w:val="22"/>
  </w:num>
  <w:num w:numId="12">
    <w:abstractNumId w:val="9"/>
  </w:num>
  <w:num w:numId="13">
    <w:abstractNumId w:val="25"/>
  </w:num>
  <w:num w:numId="14">
    <w:abstractNumId w:val="2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8"/>
  </w:num>
  <w:num w:numId="18">
    <w:abstractNumId w:val="29"/>
  </w:num>
  <w:num w:numId="19">
    <w:abstractNumId w:val="7"/>
  </w:num>
  <w:num w:numId="20">
    <w:abstractNumId w:val="15"/>
  </w:num>
  <w:num w:numId="21">
    <w:abstractNumId w:val="3"/>
  </w:num>
  <w:num w:numId="22">
    <w:abstractNumId w:val="13"/>
  </w:num>
  <w:num w:numId="23">
    <w:abstractNumId w:val="8"/>
  </w:num>
  <w:num w:numId="24">
    <w:abstractNumId w:val="4"/>
  </w:num>
  <w:num w:numId="25">
    <w:abstractNumId w:val="11"/>
  </w:num>
  <w:num w:numId="26">
    <w:abstractNumId w:val="18"/>
  </w:num>
  <w:num w:numId="27">
    <w:abstractNumId w:val="10"/>
  </w:num>
  <w:num w:numId="28">
    <w:abstractNumId w:val="16"/>
  </w:num>
  <w:num w:numId="29">
    <w:abstractNumId w:val="26"/>
  </w:num>
  <w:num w:numId="30">
    <w:abstractNumId w:val="1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67B7"/>
    <w:rsid w:val="002C5D80"/>
    <w:rsid w:val="00406799"/>
    <w:rsid w:val="004671EF"/>
    <w:rsid w:val="00521B6A"/>
    <w:rsid w:val="00573B13"/>
    <w:rsid w:val="00617475"/>
    <w:rsid w:val="006D1D0F"/>
    <w:rsid w:val="00777BD8"/>
    <w:rsid w:val="008B79B3"/>
    <w:rsid w:val="00916033"/>
    <w:rsid w:val="009567B7"/>
    <w:rsid w:val="009C2E52"/>
    <w:rsid w:val="00A117A7"/>
    <w:rsid w:val="00B36246"/>
    <w:rsid w:val="00B47C96"/>
    <w:rsid w:val="00BE0AED"/>
    <w:rsid w:val="00CA2CF2"/>
    <w:rsid w:val="00CD58D8"/>
    <w:rsid w:val="00CF0D7F"/>
    <w:rsid w:val="00CF415F"/>
    <w:rsid w:val="00D008B1"/>
    <w:rsid w:val="00D51581"/>
    <w:rsid w:val="00D76D13"/>
    <w:rsid w:val="00D83151"/>
    <w:rsid w:val="00D85148"/>
    <w:rsid w:val="00D92B01"/>
    <w:rsid w:val="00DC05FB"/>
    <w:rsid w:val="00E21B2D"/>
    <w:rsid w:val="00E25185"/>
    <w:rsid w:val="00E257FF"/>
    <w:rsid w:val="00EA310E"/>
    <w:rsid w:val="00FE6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7348FA"/>
  <w15:docId w15:val="{D4A7141B-9546-4282-8EAA-0F2D47F8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7B7"/>
    <w:rPr>
      <w:lang w:eastAsia="en-GB"/>
    </w:rPr>
  </w:style>
  <w:style w:type="paragraph" w:styleId="Heading1">
    <w:name w:val="heading 1"/>
    <w:basedOn w:val="Normal"/>
    <w:next w:val="Normal"/>
    <w:link w:val="Heading1Char"/>
    <w:uiPriority w:val="9"/>
    <w:qFormat/>
    <w:rsid w:val="009567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7B7"/>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9567B7"/>
    <w:pPr>
      <w:ind w:left="720"/>
      <w:contextualSpacing/>
    </w:pPr>
  </w:style>
  <w:style w:type="character" w:styleId="Hyperlink">
    <w:name w:val="Hyperlink"/>
    <w:basedOn w:val="DefaultParagraphFont"/>
    <w:uiPriority w:val="99"/>
    <w:unhideWhenUsed/>
    <w:rsid w:val="009567B7"/>
    <w:rPr>
      <w:color w:val="0000FF" w:themeColor="hyperlink"/>
      <w:u w:val="single"/>
    </w:rPr>
  </w:style>
  <w:style w:type="paragraph" w:customStyle="1" w:styleId="Default">
    <w:name w:val="Default"/>
    <w:rsid w:val="009567B7"/>
    <w:pPr>
      <w:autoSpaceDE w:val="0"/>
      <w:autoSpaceDN w:val="0"/>
      <w:adjustRightInd w:val="0"/>
      <w:spacing w:after="0" w:line="240" w:lineRule="auto"/>
    </w:pPr>
    <w:rPr>
      <w:rFonts w:ascii="Arial" w:hAnsi="Arial" w:cs="Arial"/>
      <w:color w:val="000000"/>
      <w:sz w:val="24"/>
      <w:szCs w:val="24"/>
      <w:lang w:eastAsia="en-GB"/>
    </w:rPr>
  </w:style>
  <w:style w:type="character" w:customStyle="1" w:styleId="A3">
    <w:name w:val="A3"/>
    <w:uiPriority w:val="99"/>
    <w:rsid w:val="009567B7"/>
    <w:rPr>
      <w:b/>
      <w:bCs/>
      <w:color w:val="000000"/>
      <w:sz w:val="23"/>
      <w:szCs w:val="23"/>
    </w:rPr>
  </w:style>
  <w:style w:type="character" w:customStyle="1" w:styleId="A13">
    <w:name w:val="A13"/>
    <w:uiPriority w:val="99"/>
    <w:rsid w:val="009567B7"/>
    <w:rPr>
      <w:rFonts w:cs="Helvetica 45 Light"/>
      <w:color w:val="000000"/>
      <w:sz w:val="12"/>
      <w:szCs w:val="12"/>
    </w:rPr>
  </w:style>
  <w:style w:type="paragraph" w:customStyle="1" w:styleId="Pa2">
    <w:name w:val="Pa2"/>
    <w:basedOn w:val="Default"/>
    <w:next w:val="Default"/>
    <w:uiPriority w:val="99"/>
    <w:rsid w:val="009567B7"/>
    <w:pPr>
      <w:spacing w:line="221" w:lineRule="atLeast"/>
    </w:pPr>
    <w:rPr>
      <w:rFonts w:ascii="Helvetica 45 Light" w:hAnsi="Helvetica 45 Light" w:cstheme="minorBidi"/>
      <w:color w:val="auto"/>
    </w:rPr>
  </w:style>
  <w:style w:type="paragraph" w:customStyle="1" w:styleId="Pa10">
    <w:name w:val="Pa10"/>
    <w:basedOn w:val="Default"/>
    <w:next w:val="Default"/>
    <w:uiPriority w:val="99"/>
    <w:rsid w:val="009567B7"/>
    <w:pPr>
      <w:spacing w:line="221" w:lineRule="atLeast"/>
    </w:pPr>
    <w:rPr>
      <w:rFonts w:ascii="Helvetica 45 Light" w:hAnsi="Helvetica 45 Light" w:cstheme="minorBidi"/>
      <w:color w:val="auto"/>
    </w:rPr>
  </w:style>
  <w:style w:type="paragraph" w:styleId="BalloonText">
    <w:name w:val="Balloon Text"/>
    <w:basedOn w:val="Normal"/>
    <w:link w:val="BalloonTextChar"/>
    <w:uiPriority w:val="99"/>
    <w:semiHidden/>
    <w:unhideWhenUsed/>
    <w:rsid w:val="00956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7B7"/>
    <w:rPr>
      <w:rFonts w:ascii="Tahoma" w:hAnsi="Tahoma" w:cs="Tahoma"/>
      <w:sz w:val="16"/>
      <w:szCs w:val="16"/>
      <w:lang w:eastAsia="en-GB"/>
    </w:rPr>
  </w:style>
  <w:style w:type="table" w:styleId="TableGrid">
    <w:name w:val="Table Grid"/>
    <w:basedOn w:val="TableNormal"/>
    <w:uiPriority w:val="59"/>
    <w:rsid w:val="00956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6D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D13"/>
    <w:rPr>
      <w:lang w:eastAsia="en-GB"/>
    </w:rPr>
  </w:style>
  <w:style w:type="paragraph" w:styleId="Footer">
    <w:name w:val="footer"/>
    <w:basedOn w:val="Normal"/>
    <w:link w:val="FooterChar"/>
    <w:uiPriority w:val="99"/>
    <w:unhideWhenUsed/>
    <w:rsid w:val="00D76D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D13"/>
    <w:rPr>
      <w:lang w:eastAsia="en-GB"/>
    </w:rPr>
  </w:style>
  <w:style w:type="character" w:styleId="PageNumber">
    <w:name w:val="page number"/>
    <w:basedOn w:val="DefaultParagraphFont"/>
    <w:rsid w:val="00D76D13"/>
  </w:style>
  <w:style w:type="paragraph" w:styleId="FootnoteText">
    <w:name w:val="footnote text"/>
    <w:basedOn w:val="Normal"/>
    <w:link w:val="FootnoteTextChar"/>
    <w:uiPriority w:val="99"/>
    <w:semiHidden/>
    <w:unhideWhenUsed/>
    <w:rsid w:val="00CD58D8"/>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CD58D8"/>
    <w:rPr>
      <w:rFonts w:ascii="Times New Roman" w:eastAsia="Times New Roman" w:hAnsi="Times New Roman" w:cs="Times New Roman"/>
      <w:sz w:val="20"/>
      <w:szCs w:val="20"/>
    </w:rPr>
  </w:style>
  <w:style w:type="character" w:styleId="FootnoteReference">
    <w:name w:val="footnote reference"/>
    <w:uiPriority w:val="99"/>
    <w:semiHidden/>
    <w:unhideWhenUsed/>
    <w:rsid w:val="00CD58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678">
      <w:bodyDiv w:val="1"/>
      <w:marLeft w:val="0"/>
      <w:marRight w:val="0"/>
      <w:marTop w:val="0"/>
      <w:marBottom w:val="0"/>
      <w:divBdr>
        <w:top w:val="none" w:sz="0" w:space="0" w:color="auto"/>
        <w:left w:val="none" w:sz="0" w:space="0" w:color="auto"/>
        <w:bottom w:val="none" w:sz="0" w:space="0" w:color="auto"/>
        <w:right w:val="none" w:sz="0" w:space="0" w:color="auto"/>
      </w:divBdr>
    </w:div>
    <w:div w:id="52892169">
      <w:bodyDiv w:val="1"/>
      <w:marLeft w:val="0"/>
      <w:marRight w:val="0"/>
      <w:marTop w:val="0"/>
      <w:marBottom w:val="0"/>
      <w:divBdr>
        <w:top w:val="none" w:sz="0" w:space="0" w:color="auto"/>
        <w:left w:val="none" w:sz="0" w:space="0" w:color="auto"/>
        <w:bottom w:val="none" w:sz="0" w:space="0" w:color="auto"/>
        <w:right w:val="none" w:sz="0" w:space="0" w:color="auto"/>
      </w:divBdr>
    </w:div>
    <w:div w:id="58526515">
      <w:bodyDiv w:val="1"/>
      <w:marLeft w:val="0"/>
      <w:marRight w:val="0"/>
      <w:marTop w:val="0"/>
      <w:marBottom w:val="0"/>
      <w:divBdr>
        <w:top w:val="none" w:sz="0" w:space="0" w:color="auto"/>
        <w:left w:val="none" w:sz="0" w:space="0" w:color="auto"/>
        <w:bottom w:val="none" w:sz="0" w:space="0" w:color="auto"/>
        <w:right w:val="none" w:sz="0" w:space="0" w:color="auto"/>
      </w:divBdr>
    </w:div>
    <w:div w:id="78601577">
      <w:bodyDiv w:val="1"/>
      <w:marLeft w:val="0"/>
      <w:marRight w:val="0"/>
      <w:marTop w:val="0"/>
      <w:marBottom w:val="0"/>
      <w:divBdr>
        <w:top w:val="none" w:sz="0" w:space="0" w:color="auto"/>
        <w:left w:val="none" w:sz="0" w:space="0" w:color="auto"/>
        <w:bottom w:val="none" w:sz="0" w:space="0" w:color="auto"/>
        <w:right w:val="none" w:sz="0" w:space="0" w:color="auto"/>
      </w:divBdr>
    </w:div>
    <w:div w:id="393552940">
      <w:bodyDiv w:val="1"/>
      <w:marLeft w:val="0"/>
      <w:marRight w:val="0"/>
      <w:marTop w:val="0"/>
      <w:marBottom w:val="0"/>
      <w:divBdr>
        <w:top w:val="none" w:sz="0" w:space="0" w:color="auto"/>
        <w:left w:val="none" w:sz="0" w:space="0" w:color="auto"/>
        <w:bottom w:val="none" w:sz="0" w:space="0" w:color="auto"/>
        <w:right w:val="none" w:sz="0" w:space="0" w:color="auto"/>
      </w:divBdr>
    </w:div>
    <w:div w:id="417753206">
      <w:bodyDiv w:val="1"/>
      <w:marLeft w:val="0"/>
      <w:marRight w:val="0"/>
      <w:marTop w:val="0"/>
      <w:marBottom w:val="0"/>
      <w:divBdr>
        <w:top w:val="none" w:sz="0" w:space="0" w:color="auto"/>
        <w:left w:val="none" w:sz="0" w:space="0" w:color="auto"/>
        <w:bottom w:val="none" w:sz="0" w:space="0" w:color="auto"/>
        <w:right w:val="none" w:sz="0" w:space="0" w:color="auto"/>
      </w:divBdr>
    </w:div>
    <w:div w:id="475726655">
      <w:bodyDiv w:val="1"/>
      <w:marLeft w:val="0"/>
      <w:marRight w:val="0"/>
      <w:marTop w:val="0"/>
      <w:marBottom w:val="0"/>
      <w:divBdr>
        <w:top w:val="none" w:sz="0" w:space="0" w:color="auto"/>
        <w:left w:val="none" w:sz="0" w:space="0" w:color="auto"/>
        <w:bottom w:val="none" w:sz="0" w:space="0" w:color="auto"/>
        <w:right w:val="none" w:sz="0" w:space="0" w:color="auto"/>
      </w:divBdr>
    </w:div>
    <w:div w:id="544219551">
      <w:bodyDiv w:val="1"/>
      <w:marLeft w:val="0"/>
      <w:marRight w:val="0"/>
      <w:marTop w:val="0"/>
      <w:marBottom w:val="0"/>
      <w:divBdr>
        <w:top w:val="none" w:sz="0" w:space="0" w:color="auto"/>
        <w:left w:val="none" w:sz="0" w:space="0" w:color="auto"/>
        <w:bottom w:val="none" w:sz="0" w:space="0" w:color="auto"/>
        <w:right w:val="none" w:sz="0" w:space="0" w:color="auto"/>
      </w:divBdr>
    </w:div>
    <w:div w:id="746534631">
      <w:bodyDiv w:val="1"/>
      <w:marLeft w:val="0"/>
      <w:marRight w:val="0"/>
      <w:marTop w:val="0"/>
      <w:marBottom w:val="0"/>
      <w:divBdr>
        <w:top w:val="none" w:sz="0" w:space="0" w:color="auto"/>
        <w:left w:val="none" w:sz="0" w:space="0" w:color="auto"/>
        <w:bottom w:val="none" w:sz="0" w:space="0" w:color="auto"/>
        <w:right w:val="none" w:sz="0" w:space="0" w:color="auto"/>
      </w:divBdr>
    </w:div>
    <w:div w:id="1147284714">
      <w:bodyDiv w:val="1"/>
      <w:marLeft w:val="0"/>
      <w:marRight w:val="0"/>
      <w:marTop w:val="0"/>
      <w:marBottom w:val="0"/>
      <w:divBdr>
        <w:top w:val="none" w:sz="0" w:space="0" w:color="auto"/>
        <w:left w:val="none" w:sz="0" w:space="0" w:color="auto"/>
        <w:bottom w:val="none" w:sz="0" w:space="0" w:color="auto"/>
        <w:right w:val="none" w:sz="0" w:space="0" w:color="auto"/>
      </w:divBdr>
    </w:div>
    <w:div w:id="1200976992">
      <w:bodyDiv w:val="1"/>
      <w:marLeft w:val="0"/>
      <w:marRight w:val="0"/>
      <w:marTop w:val="0"/>
      <w:marBottom w:val="0"/>
      <w:divBdr>
        <w:top w:val="none" w:sz="0" w:space="0" w:color="auto"/>
        <w:left w:val="none" w:sz="0" w:space="0" w:color="auto"/>
        <w:bottom w:val="none" w:sz="0" w:space="0" w:color="auto"/>
        <w:right w:val="none" w:sz="0" w:space="0" w:color="auto"/>
      </w:divBdr>
    </w:div>
    <w:div w:id="1206142767">
      <w:bodyDiv w:val="1"/>
      <w:marLeft w:val="0"/>
      <w:marRight w:val="0"/>
      <w:marTop w:val="0"/>
      <w:marBottom w:val="0"/>
      <w:divBdr>
        <w:top w:val="none" w:sz="0" w:space="0" w:color="auto"/>
        <w:left w:val="none" w:sz="0" w:space="0" w:color="auto"/>
        <w:bottom w:val="none" w:sz="0" w:space="0" w:color="auto"/>
        <w:right w:val="none" w:sz="0" w:space="0" w:color="auto"/>
      </w:divBdr>
    </w:div>
    <w:div w:id="1237011873">
      <w:bodyDiv w:val="1"/>
      <w:marLeft w:val="0"/>
      <w:marRight w:val="0"/>
      <w:marTop w:val="0"/>
      <w:marBottom w:val="0"/>
      <w:divBdr>
        <w:top w:val="none" w:sz="0" w:space="0" w:color="auto"/>
        <w:left w:val="none" w:sz="0" w:space="0" w:color="auto"/>
        <w:bottom w:val="none" w:sz="0" w:space="0" w:color="auto"/>
        <w:right w:val="none" w:sz="0" w:space="0" w:color="auto"/>
      </w:divBdr>
    </w:div>
    <w:div w:id="1288438827">
      <w:bodyDiv w:val="1"/>
      <w:marLeft w:val="0"/>
      <w:marRight w:val="0"/>
      <w:marTop w:val="0"/>
      <w:marBottom w:val="0"/>
      <w:divBdr>
        <w:top w:val="none" w:sz="0" w:space="0" w:color="auto"/>
        <w:left w:val="none" w:sz="0" w:space="0" w:color="auto"/>
        <w:bottom w:val="none" w:sz="0" w:space="0" w:color="auto"/>
        <w:right w:val="none" w:sz="0" w:space="0" w:color="auto"/>
      </w:divBdr>
    </w:div>
    <w:div w:id="1378161343">
      <w:bodyDiv w:val="1"/>
      <w:marLeft w:val="0"/>
      <w:marRight w:val="0"/>
      <w:marTop w:val="0"/>
      <w:marBottom w:val="0"/>
      <w:divBdr>
        <w:top w:val="none" w:sz="0" w:space="0" w:color="auto"/>
        <w:left w:val="none" w:sz="0" w:space="0" w:color="auto"/>
        <w:bottom w:val="none" w:sz="0" w:space="0" w:color="auto"/>
        <w:right w:val="none" w:sz="0" w:space="0" w:color="auto"/>
      </w:divBdr>
    </w:div>
    <w:div w:id="1749572961">
      <w:bodyDiv w:val="1"/>
      <w:marLeft w:val="0"/>
      <w:marRight w:val="0"/>
      <w:marTop w:val="0"/>
      <w:marBottom w:val="0"/>
      <w:divBdr>
        <w:top w:val="none" w:sz="0" w:space="0" w:color="auto"/>
        <w:left w:val="none" w:sz="0" w:space="0" w:color="auto"/>
        <w:bottom w:val="none" w:sz="0" w:space="0" w:color="auto"/>
        <w:right w:val="none" w:sz="0" w:space="0" w:color="auto"/>
      </w:divBdr>
    </w:div>
    <w:div w:id="1824078211">
      <w:bodyDiv w:val="1"/>
      <w:marLeft w:val="0"/>
      <w:marRight w:val="0"/>
      <w:marTop w:val="0"/>
      <w:marBottom w:val="0"/>
      <w:divBdr>
        <w:top w:val="none" w:sz="0" w:space="0" w:color="auto"/>
        <w:left w:val="none" w:sz="0" w:space="0" w:color="auto"/>
        <w:bottom w:val="none" w:sz="0" w:space="0" w:color="auto"/>
        <w:right w:val="none" w:sz="0" w:space="0" w:color="auto"/>
      </w:divBdr>
    </w:div>
    <w:div w:id="200712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5</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South West Yorkshire NHS Foundation Trust</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Helen(SWYMHT)</dc:creator>
  <cp:lastModifiedBy>Roberts Helen(SWYMHT)</cp:lastModifiedBy>
  <cp:revision>14</cp:revision>
  <dcterms:created xsi:type="dcterms:W3CDTF">2019-10-14T10:03:00Z</dcterms:created>
  <dcterms:modified xsi:type="dcterms:W3CDTF">2021-08-24T13:54:00Z</dcterms:modified>
</cp:coreProperties>
</file>