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B3A5" w14:textId="77777777" w:rsidR="00EB61EA" w:rsidRPr="00EA7F6F" w:rsidRDefault="00EB61EA" w:rsidP="00EB61EA">
      <w:pPr>
        <w:jc w:val="right"/>
        <w:rPr>
          <w:rFonts w:cs="Arial"/>
          <w:b/>
          <w:color w:val="0070C0"/>
          <w:sz w:val="32"/>
          <w:szCs w:val="32"/>
        </w:rPr>
      </w:pPr>
      <w:bookmarkStart w:id="0" w:name="_Toc72236790"/>
      <w:r w:rsidRPr="00EA7F6F">
        <w:rPr>
          <w:rFonts w:cs="Arial"/>
          <w:noProof/>
        </w:rPr>
        <w:drawing>
          <wp:inline distT="0" distB="0" distL="0" distR="0" wp14:anchorId="0A803E2B" wp14:editId="74DDB8A8">
            <wp:extent cx="2067803" cy="923925"/>
            <wp:effectExtent l="0" t="0" r="8890" b="0"/>
            <wp:docPr id="7" name="Picture 7"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 Organisational Logo Standard Template_A4_CMYK_Right Aligned ti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338" cy="925504"/>
                    </a:xfrm>
                    <a:prstGeom prst="rect">
                      <a:avLst/>
                    </a:prstGeom>
                    <a:noFill/>
                    <a:ln>
                      <a:noFill/>
                    </a:ln>
                  </pic:spPr>
                </pic:pic>
              </a:graphicData>
            </a:graphic>
          </wp:inline>
        </w:drawing>
      </w:r>
    </w:p>
    <w:p w14:paraId="36C4AF29" w14:textId="77777777" w:rsidR="00EB61EA" w:rsidRPr="00EB61EA" w:rsidRDefault="00EB61EA" w:rsidP="00EB61EA">
      <w:pPr>
        <w:pStyle w:val="Heading1"/>
        <w:rPr>
          <w:rFonts w:ascii="Arial" w:hAnsi="Arial" w:cs="Arial"/>
          <w:b/>
          <w:bCs/>
          <w:color w:val="0070C0"/>
        </w:rPr>
      </w:pPr>
      <w:bookmarkStart w:id="1" w:name="_Toc54951026"/>
      <w:r w:rsidRPr="00EB61EA">
        <w:rPr>
          <w:rFonts w:ascii="Arial" w:hAnsi="Arial" w:cs="Arial"/>
          <w:b/>
          <w:bCs/>
          <w:color w:val="0070C0"/>
        </w:rPr>
        <w:t>Learning from Healthcare Deaths Report</w:t>
      </w:r>
      <w:bookmarkEnd w:id="1"/>
      <w:r w:rsidRPr="00EB61EA">
        <w:rPr>
          <w:rFonts w:ascii="Arial" w:hAnsi="Arial" w:cs="Arial"/>
          <w:b/>
          <w:bCs/>
          <w:color w:val="0070C0"/>
        </w:rPr>
        <w:t xml:space="preserve"> </w:t>
      </w:r>
    </w:p>
    <w:p w14:paraId="32809927" w14:textId="72EB277E" w:rsidR="00EB61EA" w:rsidRPr="00EA7F6F" w:rsidRDefault="00EB61EA" w:rsidP="00EB61EA">
      <w:pPr>
        <w:rPr>
          <w:rFonts w:cs="Arial"/>
          <w:b/>
          <w:color w:val="0070C0"/>
          <w:sz w:val="32"/>
          <w:szCs w:val="32"/>
        </w:rPr>
      </w:pPr>
      <w:r w:rsidRPr="00EA7F6F">
        <w:rPr>
          <w:rFonts w:cs="Arial"/>
          <w:b/>
          <w:color w:val="0070C0"/>
          <w:sz w:val="32"/>
          <w:szCs w:val="32"/>
        </w:rPr>
        <w:t>Annual Cumulative Report 202</w:t>
      </w:r>
      <w:r>
        <w:rPr>
          <w:rFonts w:cs="Arial"/>
          <w:b/>
          <w:color w:val="0070C0"/>
          <w:sz w:val="32"/>
          <w:szCs w:val="32"/>
        </w:rPr>
        <w:t>0</w:t>
      </w:r>
      <w:r w:rsidRPr="00EA7F6F">
        <w:rPr>
          <w:rFonts w:cs="Arial"/>
          <w:b/>
          <w:color w:val="0070C0"/>
          <w:sz w:val="32"/>
          <w:szCs w:val="32"/>
        </w:rPr>
        <w:t>/2</w:t>
      </w:r>
      <w:r>
        <w:rPr>
          <w:rFonts w:cs="Arial"/>
          <w:b/>
          <w:color w:val="0070C0"/>
          <w:sz w:val="32"/>
          <w:szCs w:val="32"/>
        </w:rPr>
        <w:t>1</w:t>
      </w:r>
      <w:r w:rsidRPr="00EA7F6F">
        <w:rPr>
          <w:rFonts w:cs="Arial"/>
          <w:b/>
          <w:color w:val="0070C0"/>
          <w:sz w:val="32"/>
          <w:szCs w:val="32"/>
        </w:rPr>
        <w:t xml:space="preserve"> </w:t>
      </w:r>
    </w:p>
    <w:bookmarkEnd w:id="0"/>
    <w:p w14:paraId="734774BB" w14:textId="77777777" w:rsidR="00EB61EA" w:rsidRPr="004975B7" w:rsidRDefault="00EB61EA" w:rsidP="00EB61EA">
      <w:pPr>
        <w:rPr>
          <w:rFonts w:cs="Arial"/>
        </w:rPr>
      </w:pPr>
    </w:p>
    <w:p w14:paraId="17561F6D" w14:textId="77777777" w:rsidR="00EB61EA" w:rsidRPr="00AD18FC" w:rsidRDefault="00EB61EA" w:rsidP="00EB61EA">
      <w:pPr>
        <w:rPr>
          <w:b/>
          <w:bCs/>
          <w:color w:val="0070C0"/>
        </w:rPr>
      </w:pPr>
      <w:r w:rsidRPr="00AD18FC">
        <w:rPr>
          <w:b/>
          <w:bCs/>
          <w:color w:val="0070C0"/>
        </w:rPr>
        <w:t>Introduction</w:t>
      </w:r>
    </w:p>
    <w:p w14:paraId="5E0044E1" w14:textId="77777777" w:rsidR="00EB61EA" w:rsidRPr="004975B7" w:rsidRDefault="00EB61EA" w:rsidP="00EB61EA">
      <w:pPr>
        <w:pStyle w:val="Default"/>
        <w:jc w:val="both"/>
        <w:rPr>
          <w:rFonts w:ascii="Arial" w:hAnsi="Arial" w:cs="Arial"/>
          <w:sz w:val="22"/>
          <w:szCs w:val="22"/>
        </w:rPr>
      </w:pPr>
      <w:r w:rsidRPr="004975B7">
        <w:rPr>
          <w:rFonts w:ascii="Arial" w:hAnsi="Arial" w:cs="Arial"/>
          <w:sz w:val="22"/>
          <w:szCs w:val="22"/>
        </w:rPr>
        <w:t xml:space="preserve">Scrutiny of healthcare deaths has been high on the government’s agenda for some time. In line with the National Quality Board report published in 2017, the Trust has had Learning from Healthcare Deaths policy in place since September 2017 that sets out how we identify, report, investigate and learn from a patient’s death. The Trust has been reporting and publishing our data on our website since October 2017. </w:t>
      </w:r>
    </w:p>
    <w:p w14:paraId="4B5F52FD" w14:textId="77777777" w:rsidR="00EB61EA" w:rsidRPr="004975B7" w:rsidRDefault="00EB61EA" w:rsidP="00EB61EA">
      <w:pPr>
        <w:pStyle w:val="Default"/>
        <w:jc w:val="both"/>
        <w:rPr>
          <w:rFonts w:ascii="Arial" w:hAnsi="Arial" w:cs="Arial"/>
          <w:sz w:val="22"/>
          <w:szCs w:val="22"/>
        </w:rPr>
      </w:pPr>
    </w:p>
    <w:p w14:paraId="22FF994A" w14:textId="77777777" w:rsidR="00EB61EA" w:rsidRPr="004975B7" w:rsidRDefault="00EB61EA" w:rsidP="00EB61EA">
      <w:pPr>
        <w:pStyle w:val="Default"/>
        <w:jc w:val="both"/>
        <w:rPr>
          <w:rFonts w:ascii="Arial" w:hAnsi="Arial" w:cs="Arial"/>
          <w:sz w:val="22"/>
          <w:szCs w:val="22"/>
        </w:rPr>
      </w:pPr>
      <w:r w:rsidRPr="004975B7">
        <w:rPr>
          <w:rFonts w:ascii="Arial" w:hAnsi="Arial" w:cs="Arial"/>
          <w:sz w:val="22"/>
          <w:szCs w:val="22"/>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a number of reasons including system failure. </w:t>
      </w:r>
    </w:p>
    <w:p w14:paraId="42A87C81" w14:textId="77777777" w:rsidR="00EB61EA" w:rsidRPr="004975B7" w:rsidRDefault="00EB61EA" w:rsidP="00EB61EA">
      <w:pPr>
        <w:pStyle w:val="Default"/>
        <w:jc w:val="both"/>
        <w:rPr>
          <w:rFonts w:ascii="Arial" w:hAnsi="Arial" w:cs="Arial"/>
          <w:sz w:val="22"/>
          <w:szCs w:val="22"/>
        </w:rPr>
      </w:pPr>
    </w:p>
    <w:p w14:paraId="54BD4BC9" w14:textId="77777777" w:rsidR="00EB61EA" w:rsidRPr="004975B7" w:rsidRDefault="00EB61EA" w:rsidP="00EB61EA">
      <w:pPr>
        <w:pStyle w:val="Default"/>
        <w:jc w:val="both"/>
        <w:rPr>
          <w:rFonts w:ascii="Arial" w:hAnsi="Arial" w:cs="Arial"/>
          <w:sz w:val="22"/>
          <w:szCs w:val="22"/>
        </w:rPr>
      </w:pPr>
      <w:r w:rsidRPr="004975B7">
        <w:rPr>
          <w:rFonts w:ascii="Arial" w:hAnsi="Arial" w:cs="Arial"/>
          <w:sz w:val="22"/>
          <w:szCs w:val="22"/>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in order to maximise learning. </w:t>
      </w:r>
    </w:p>
    <w:p w14:paraId="7D113F93" w14:textId="77777777" w:rsidR="00EB61EA" w:rsidRPr="004975B7" w:rsidRDefault="00EB61EA" w:rsidP="00EB61EA">
      <w:pPr>
        <w:pStyle w:val="Default"/>
        <w:jc w:val="both"/>
        <w:rPr>
          <w:rFonts w:ascii="Arial" w:hAnsi="Arial" w:cs="Arial"/>
          <w:sz w:val="22"/>
          <w:szCs w:val="22"/>
          <w:highlight w:val="yellow"/>
        </w:rPr>
      </w:pPr>
    </w:p>
    <w:p w14:paraId="19C0D747" w14:textId="77777777" w:rsidR="00EB61EA" w:rsidRPr="004975B7" w:rsidRDefault="00EB61EA" w:rsidP="00EB61EA">
      <w:pPr>
        <w:pStyle w:val="Default"/>
        <w:jc w:val="both"/>
        <w:rPr>
          <w:rFonts w:ascii="Arial" w:hAnsi="Arial" w:cs="Arial"/>
          <w:sz w:val="22"/>
          <w:szCs w:val="22"/>
        </w:rPr>
      </w:pPr>
      <w:r w:rsidRPr="004975B7">
        <w:rPr>
          <w:rFonts w:ascii="Arial" w:hAnsi="Arial" w:cs="Arial"/>
          <w:sz w:val="22"/>
          <w:szCs w:val="22"/>
        </w:rPr>
        <w:t xml:space="preserve">The Confidential Inquiry into premature deaths of people with learning disabilities showed a very similar picture in terms of early deaths. </w:t>
      </w:r>
    </w:p>
    <w:p w14:paraId="160F6F6D" w14:textId="77777777" w:rsidR="00EB61EA" w:rsidRPr="004975B7" w:rsidRDefault="00EB61EA" w:rsidP="00EB61EA">
      <w:pPr>
        <w:pStyle w:val="Default"/>
        <w:jc w:val="both"/>
        <w:rPr>
          <w:rFonts w:ascii="Arial" w:hAnsi="Arial" w:cs="Arial"/>
          <w:sz w:val="22"/>
          <w:szCs w:val="22"/>
        </w:rPr>
      </w:pPr>
    </w:p>
    <w:p w14:paraId="693257A7" w14:textId="77777777" w:rsidR="00EB61EA" w:rsidRPr="004975B7" w:rsidRDefault="00EB61EA" w:rsidP="00EB61EA">
      <w:pPr>
        <w:pStyle w:val="Default"/>
        <w:jc w:val="both"/>
        <w:rPr>
          <w:rFonts w:ascii="Arial" w:hAnsi="Arial" w:cs="Arial"/>
          <w:sz w:val="22"/>
          <w:szCs w:val="22"/>
        </w:rPr>
      </w:pPr>
      <w:r w:rsidRPr="004975B7">
        <w:rPr>
          <w:rFonts w:ascii="Arial" w:hAnsi="Arial" w:cs="Arial"/>
          <w:sz w:val="22"/>
          <w:szCs w:val="22"/>
        </w:rPr>
        <w:t xml:space="preserve">The Trust has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4B597E34" w14:textId="77777777" w:rsidR="00EB61EA" w:rsidRPr="004975B7" w:rsidRDefault="00EB61EA" w:rsidP="00EB61EA">
      <w:pPr>
        <w:pStyle w:val="Default"/>
        <w:jc w:val="both"/>
        <w:rPr>
          <w:rFonts w:ascii="Arial" w:hAnsi="Arial" w:cs="Arial"/>
          <w:color w:val="auto"/>
          <w:highlight w:val="yellow"/>
        </w:rPr>
      </w:pPr>
    </w:p>
    <w:p w14:paraId="434B773E" w14:textId="7084344D" w:rsidR="00EB61EA" w:rsidRDefault="00EB61EA" w:rsidP="00EB61EA">
      <w:pPr>
        <w:spacing w:after="180"/>
        <w:jc w:val="both"/>
        <w:rPr>
          <w:rFonts w:cs="Arial"/>
          <w:color w:val="000000" w:themeColor="text1"/>
          <w:sz w:val="22"/>
          <w:szCs w:val="22"/>
        </w:rPr>
      </w:pPr>
      <w:r w:rsidRPr="004975B7">
        <w:rPr>
          <w:rFonts w:cs="Arial"/>
          <w:color w:val="000000" w:themeColor="text1"/>
          <w:sz w:val="22"/>
          <w:szCs w:val="22"/>
        </w:rPr>
        <w:t xml:space="preserve">All deaths that are in scope are reported to Trust Board each quarter.   The latest reports are published on the </w:t>
      </w:r>
      <w:hyperlink r:id="rId6" w:history="1">
        <w:r w:rsidRPr="004975B7">
          <w:rPr>
            <w:rStyle w:val="Hyperlink"/>
            <w:rFonts w:cs="Arial"/>
            <w:sz w:val="22"/>
            <w:szCs w:val="22"/>
          </w:rPr>
          <w:t>Trust website</w:t>
        </w:r>
      </w:hyperlink>
      <w:r w:rsidRPr="004975B7">
        <w:rPr>
          <w:rFonts w:cs="Arial"/>
          <w:color w:val="000000" w:themeColor="text1"/>
          <w:sz w:val="22"/>
          <w:szCs w:val="22"/>
        </w:rPr>
        <w:t xml:space="preserve">.   </w:t>
      </w:r>
    </w:p>
    <w:p w14:paraId="412A6402" w14:textId="77777777" w:rsidR="00EB61EA" w:rsidRPr="004E4993" w:rsidRDefault="00EB61EA" w:rsidP="004E4993">
      <w:pPr>
        <w:rPr>
          <w:b/>
          <w:bCs/>
          <w:color w:val="0070C0"/>
        </w:rPr>
      </w:pPr>
      <w:r w:rsidRPr="004E4993">
        <w:rPr>
          <w:b/>
          <w:bCs/>
          <w:color w:val="0070C0"/>
        </w:rPr>
        <w:t xml:space="preserve">Scope </w:t>
      </w:r>
    </w:p>
    <w:p w14:paraId="124B7C71" w14:textId="77777777" w:rsidR="00EB61EA" w:rsidRPr="004975B7" w:rsidRDefault="00EB61EA" w:rsidP="00EB61EA">
      <w:pPr>
        <w:pStyle w:val="Default"/>
        <w:jc w:val="both"/>
        <w:rPr>
          <w:rFonts w:ascii="Arial" w:hAnsi="Arial" w:cs="Arial"/>
          <w:color w:val="auto"/>
          <w:sz w:val="22"/>
          <w:szCs w:val="22"/>
        </w:rPr>
      </w:pPr>
      <w:r w:rsidRPr="004975B7">
        <w:rPr>
          <w:rFonts w:ascii="Arial" w:hAnsi="Arial" w:cs="Arial"/>
          <w:color w:val="auto"/>
          <w:sz w:val="22"/>
          <w:szCs w:val="22"/>
        </w:rPr>
        <w:t xml:space="preserve">The Trust has systems that identify and capture the known deaths of its service users on its electronic patient administration system (PAS) and on its Datix system where the death requires reporting. </w:t>
      </w:r>
    </w:p>
    <w:p w14:paraId="74F1BB1D" w14:textId="77777777" w:rsidR="00EB61EA" w:rsidRPr="004975B7" w:rsidRDefault="00EB61EA" w:rsidP="00EB61EA">
      <w:pPr>
        <w:pStyle w:val="Default"/>
        <w:jc w:val="both"/>
        <w:rPr>
          <w:rFonts w:ascii="Arial" w:hAnsi="Arial" w:cs="Arial"/>
          <w:color w:val="auto"/>
          <w:sz w:val="22"/>
          <w:szCs w:val="22"/>
        </w:rPr>
      </w:pPr>
    </w:p>
    <w:p w14:paraId="78A42CFC" w14:textId="16134248" w:rsidR="00EB61EA" w:rsidRPr="004975B7" w:rsidRDefault="00EB61EA" w:rsidP="00EB61EA">
      <w:pPr>
        <w:pStyle w:val="Default"/>
        <w:jc w:val="both"/>
        <w:rPr>
          <w:rFonts w:ascii="Arial" w:hAnsi="Arial" w:cs="Arial"/>
          <w:color w:val="auto"/>
          <w:sz w:val="22"/>
          <w:szCs w:val="22"/>
        </w:rPr>
      </w:pPr>
      <w:r w:rsidRPr="004975B7">
        <w:rPr>
          <w:rFonts w:ascii="Arial" w:hAnsi="Arial" w:cs="Arial"/>
          <w:color w:val="auto"/>
          <w:sz w:val="22"/>
          <w:szCs w:val="22"/>
        </w:rPr>
        <w:t>The Trust introduced our Learning from healthcare deaths policy in 2017. Staff report deaths where there are concerns from family, clinical staff or through governance processes and where the Trust is the main provider of care. This is what we refer to as ‘in scope deaths’ (further details are available in the</w:t>
      </w:r>
      <w:r w:rsidR="004E4993">
        <w:rPr>
          <w:rFonts w:ascii="Arial" w:hAnsi="Arial" w:cs="Arial"/>
          <w:color w:val="auto"/>
          <w:sz w:val="22"/>
          <w:szCs w:val="22"/>
        </w:rPr>
        <w:t xml:space="preserve"> Learning from Healthcare deaths policy. </w:t>
      </w:r>
      <w:r w:rsidRPr="004975B7">
        <w:rPr>
          <w:rFonts w:ascii="Arial" w:hAnsi="Arial" w:cs="Arial"/>
          <w:color w:val="auto"/>
          <w:sz w:val="22"/>
          <w:szCs w:val="22"/>
        </w:rPr>
        <w:t xml:space="preserve">The policy has continued to be reviewed and updated to reflect national guidance. </w:t>
      </w:r>
    </w:p>
    <w:p w14:paraId="6C704F68" w14:textId="77777777" w:rsidR="00EB61EA" w:rsidRDefault="00EB61EA" w:rsidP="00EB61EA">
      <w:pPr>
        <w:pStyle w:val="Default"/>
        <w:jc w:val="both"/>
        <w:rPr>
          <w:color w:val="auto"/>
          <w:sz w:val="22"/>
          <w:szCs w:val="22"/>
          <w:highlight w:val="yellow"/>
        </w:rPr>
      </w:pPr>
    </w:p>
    <w:p w14:paraId="7108DE86" w14:textId="3CDE0D71" w:rsidR="00EB61EA" w:rsidRPr="004E4993" w:rsidRDefault="00EB61EA" w:rsidP="00EB61EA">
      <w:pPr>
        <w:jc w:val="both"/>
        <w:rPr>
          <w:rFonts w:cs="Arial"/>
          <w:noProof/>
          <w:sz w:val="22"/>
          <w:szCs w:val="22"/>
        </w:rPr>
      </w:pPr>
      <w:r w:rsidRPr="004E4993">
        <w:rPr>
          <w:rFonts w:cs="Arial"/>
          <w:noProof/>
          <w:sz w:val="22"/>
          <w:szCs w:val="22"/>
        </w:rPr>
        <w:t xml:space="preserve">During the first Covid 19 period </w:t>
      </w:r>
      <w:r w:rsidR="004E4993" w:rsidRPr="004E4993">
        <w:rPr>
          <w:rFonts w:cs="Arial"/>
          <w:noProof/>
          <w:sz w:val="22"/>
          <w:szCs w:val="22"/>
        </w:rPr>
        <w:t>in March/April 2020</w:t>
      </w:r>
      <w:r w:rsidRPr="004E4993">
        <w:rPr>
          <w:rFonts w:cs="Arial"/>
          <w:noProof/>
          <w:sz w:val="22"/>
          <w:szCs w:val="22"/>
        </w:rPr>
        <w:t xml:space="preserve">, the Learning from deaths policy was considered to see if reporting guidance needed to change. It was felt that the existing reporting requirements </w:t>
      </w:r>
      <w:r w:rsidR="004E4993" w:rsidRPr="004E4993">
        <w:rPr>
          <w:rFonts w:cs="Arial"/>
          <w:noProof/>
          <w:sz w:val="22"/>
          <w:szCs w:val="22"/>
        </w:rPr>
        <w:t>were sufficient</w:t>
      </w:r>
      <w:r w:rsidRPr="004E4993">
        <w:rPr>
          <w:rFonts w:cs="Arial"/>
          <w:noProof/>
          <w:sz w:val="22"/>
          <w:szCs w:val="22"/>
        </w:rPr>
        <w:t xml:space="preserve">. There </w:t>
      </w:r>
      <w:r w:rsidR="004E4993" w:rsidRPr="004E4993">
        <w:rPr>
          <w:rFonts w:cs="Arial"/>
          <w:noProof/>
          <w:sz w:val="22"/>
          <w:szCs w:val="22"/>
        </w:rPr>
        <w:t>w</w:t>
      </w:r>
      <w:r w:rsidRPr="004E4993">
        <w:rPr>
          <w:rFonts w:cs="Arial"/>
          <w:noProof/>
          <w:sz w:val="22"/>
          <w:szCs w:val="22"/>
        </w:rPr>
        <w:t>as a national requirement to report externally any inpatient death related to Covid 19</w:t>
      </w:r>
      <w:r w:rsidR="004E4993" w:rsidRPr="004E4993">
        <w:rPr>
          <w:rFonts w:cs="Arial"/>
          <w:noProof/>
          <w:sz w:val="22"/>
          <w:szCs w:val="22"/>
        </w:rPr>
        <w:t>, which is covered in our existing reporting criteria</w:t>
      </w:r>
      <w:r w:rsidRPr="004E4993">
        <w:rPr>
          <w:rFonts w:cs="Arial"/>
          <w:noProof/>
          <w:sz w:val="22"/>
          <w:szCs w:val="22"/>
        </w:rPr>
        <w:t xml:space="preserve">.  </w:t>
      </w:r>
    </w:p>
    <w:p w14:paraId="4D5EBDA7" w14:textId="77777777" w:rsidR="00EB61EA" w:rsidRPr="004975B7" w:rsidRDefault="00EB61EA" w:rsidP="00EB61EA">
      <w:pPr>
        <w:pStyle w:val="Default"/>
        <w:rPr>
          <w:rFonts w:ascii="Arial" w:hAnsi="Arial" w:cs="Arial"/>
          <w:color w:val="auto"/>
          <w:sz w:val="22"/>
          <w:szCs w:val="22"/>
          <w:highlight w:val="yellow"/>
        </w:rPr>
      </w:pPr>
    </w:p>
    <w:p w14:paraId="469E7E1E" w14:textId="77777777" w:rsidR="00EB61EA" w:rsidRPr="004E4993" w:rsidRDefault="00EB61EA" w:rsidP="00EB61EA">
      <w:pPr>
        <w:rPr>
          <w:b/>
          <w:bCs/>
          <w:color w:val="0070C0"/>
        </w:rPr>
      </w:pPr>
      <w:r w:rsidRPr="004E4993">
        <w:rPr>
          <w:b/>
          <w:bCs/>
          <w:color w:val="0070C0"/>
        </w:rPr>
        <w:lastRenderedPageBreak/>
        <w:t>Learning from Healthcare Deaths reporting</w:t>
      </w:r>
    </w:p>
    <w:p w14:paraId="4959258E" w14:textId="6A1D2CEB" w:rsidR="00EB61EA" w:rsidRPr="004975B7" w:rsidRDefault="00EB61EA" w:rsidP="00EB61EA">
      <w:pPr>
        <w:autoSpaceDE w:val="0"/>
        <w:autoSpaceDN w:val="0"/>
        <w:adjustRightInd w:val="0"/>
        <w:jc w:val="both"/>
        <w:rPr>
          <w:rFonts w:cs="Arial"/>
          <w:sz w:val="22"/>
          <w:szCs w:val="22"/>
        </w:rPr>
      </w:pPr>
      <w:r w:rsidRPr="004975B7">
        <w:rPr>
          <w:rFonts w:cs="Arial"/>
          <w:sz w:val="22"/>
          <w:szCs w:val="22"/>
        </w:rPr>
        <w:t xml:space="preserve">During 2020/21, 4085 deaths (row one </w:t>
      </w:r>
      <w:r w:rsidRPr="00DF6332">
        <w:rPr>
          <w:rFonts w:cs="Arial"/>
          <w:sz w:val="22"/>
          <w:szCs w:val="22"/>
        </w:rPr>
        <w:t xml:space="preserve">in </w:t>
      </w:r>
      <w:r w:rsidRPr="004E4993">
        <w:rPr>
          <w:rFonts w:cs="Arial"/>
          <w:sz w:val="22"/>
          <w:szCs w:val="22"/>
        </w:rPr>
        <w:t xml:space="preserve">Figure </w:t>
      </w:r>
      <w:r w:rsidR="004E4993">
        <w:rPr>
          <w:rFonts w:cs="Arial"/>
          <w:sz w:val="22"/>
          <w:szCs w:val="22"/>
        </w:rPr>
        <w:t>1</w:t>
      </w:r>
      <w:r w:rsidRPr="00DF6332">
        <w:rPr>
          <w:rFonts w:cs="Arial"/>
          <w:sz w:val="22"/>
          <w:szCs w:val="22"/>
        </w:rPr>
        <w:t>) were</w:t>
      </w:r>
      <w:r w:rsidRPr="004975B7">
        <w:rPr>
          <w:rFonts w:cs="Arial"/>
          <w:sz w:val="22"/>
          <w:szCs w:val="22"/>
        </w:rPr>
        <w:t xml:space="preserve"> recorded on our clinical systems (figure correct at 5/5/21).  This figure relates to deaths of people who had any form of contact with the Trust within 180 days (approx. 6 months) prior to death, identified from our clinical systems through Business Intelligence software. This includes services such as end of life, district nursing and care home liaison services. Of note is that for a large number of cases, the Trust was not the main provider of care at the time of death.  </w:t>
      </w:r>
    </w:p>
    <w:p w14:paraId="7C029E8F" w14:textId="77777777" w:rsidR="00EB61EA" w:rsidRPr="00575080" w:rsidRDefault="00EB61EA" w:rsidP="00EB61EA">
      <w:pPr>
        <w:autoSpaceDE w:val="0"/>
        <w:autoSpaceDN w:val="0"/>
        <w:adjustRightInd w:val="0"/>
        <w:jc w:val="both"/>
        <w:rPr>
          <w:rFonts w:cs="Arial"/>
          <w:sz w:val="22"/>
          <w:szCs w:val="22"/>
          <w:highlight w:val="yellow"/>
        </w:rPr>
      </w:pPr>
    </w:p>
    <w:p w14:paraId="553FFE76" w14:textId="3C88DFA1" w:rsidR="00EB61EA" w:rsidRPr="004975B7" w:rsidRDefault="00EB61EA" w:rsidP="00EB61EA">
      <w:pPr>
        <w:pStyle w:val="Caption"/>
        <w:keepNext/>
        <w:spacing w:before="240"/>
      </w:pPr>
      <w:bookmarkStart w:id="2" w:name="_Toc10195990"/>
      <w:r w:rsidRPr="004975B7">
        <w:t xml:space="preserve">Figure </w:t>
      </w:r>
      <w:r>
        <w:fldChar w:fldCharType="begin"/>
      </w:r>
      <w:r>
        <w:instrText xml:space="preserve"> SEQ Figure \* ARABIC </w:instrText>
      </w:r>
      <w:r>
        <w:fldChar w:fldCharType="separate"/>
      </w:r>
      <w:r w:rsidR="004E4993">
        <w:rPr>
          <w:noProof/>
        </w:rPr>
        <w:t>1</w:t>
      </w:r>
      <w:r>
        <w:rPr>
          <w:noProof/>
        </w:rPr>
        <w:fldChar w:fldCharType="end"/>
      </w:r>
      <w:r w:rsidRPr="004975B7">
        <w:t xml:space="preserve"> Summary of 2020/21 Annual Death reporting by financial quarter</w:t>
      </w:r>
      <w:bookmarkEnd w:id="2"/>
      <w:r w:rsidRPr="004975B7">
        <w:t>*</w:t>
      </w:r>
    </w:p>
    <w:tbl>
      <w:tblPr>
        <w:tblW w:w="10331" w:type="dxa"/>
        <w:jc w:val="center"/>
        <w:tblLook w:val="04A0" w:firstRow="1" w:lastRow="0" w:firstColumn="1" w:lastColumn="0" w:noHBand="0" w:noVBand="1"/>
      </w:tblPr>
      <w:tblGrid>
        <w:gridCol w:w="3417"/>
        <w:gridCol w:w="1225"/>
        <w:gridCol w:w="1225"/>
        <w:gridCol w:w="1114"/>
        <w:gridCol w:w="1133"/>
        <w:gridCol w:w="1133"/>
        <w:gridCol w:w="1084"/>
      </w:tblGrid>
      <w:tr w:rsidR="00EB61EA" w:rsidRPr="004975B7" w14:paraId="62A421C5" w14:textId="77777777" w:rsidTr="00705EED">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E6C3" w14:textId="77777777" w:rsidR="00EB61EA" w:rsidRPr="004975B7" w:rsidRDefault="00EB61EA" w:rsidP="00705EED">
            <w:pPr>
              <w:rPr>
                <w:rFonts w:eastAsia="Times New Roman" w:cs="Arial"/>
                <w:color w:val="FF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CE7DEA" w14:textId="77777777" w:rsidR="00EB61EA" w:rsidRPr="004975B7" w:rsidRDefault="00EB61EA" w:rsidP="00705EED">
            <w:pPr>
              <w:jc w:val="center"/>
              <w:rPr>
                <w:rFonts w:eastAsia="Times New Roman" w:cs="Arial"/>
                <w:b/>
                <w:bCs/>
                <w:color w:val="FF0000"/>
                <w:sz w:val="20"/>
                <w:szCs w:val="20"/>
              </w:rPr>
            </w:pPr>
            <w:r w:rsidRPr="004975B7">
              <w:rPr>
                <w:rFonts w:eastAsia="Times New Roman" w:cs="Arial"/>
                <w:b/>
                <w:bCs/>
                <w:sz w:val="20"/>
                <w:szCs w:val="20"/>
                <w:lang w:eastAsia="en-GB"/>
              </w:rPr>
              <w:t>2019/20 Total</w:t>
            </w:r>
          </w:p>
        </w:tc>
        <w:tc>
          <w:tcPr>
            <w:tcW w:w="12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C140E3" w14:textId="77777777" w:rsidR="00EB61EA" w:rsidRPr="004975B7" w:rsidRDefault="00EB61EA" w:rsidP="00705EED">
            <w:pPr>
              <w:jc w:val="center"/>
              <w:rPr>
                <w:rFonts w:eastAsia="Times New Roman" w:cs="Arial"/>
                <w:b/>
                <w:bCs/>
                <w:sz w:val="20"/>
                <w:szCs w:val="20"/>
              </w:rPr>
            </w:pPr>
            <w:r w:rsidRPr="004975B7">
              <w:rPr>
                <w:rFonts w:eastAsia="Times New Roman" w:cs="Arial"/>
                <w:b/>
                <w:bCs/>
                <w:sz w:val="20"/>
                <w:szCs w:val="20"/>
              </w:rPr>
              <w:t>Quarter 1</w:t>
            </w:r>
            <w:r w:rsidRPr="004975B7">
              <w:rPr>
                <w:rFonts w:eastAsia="Times New Roman" w:cs="Arial"/>
                <w:b/>
                <w:bCs/>
                <w:sz w:val="20"/>
                <w:szCs w:val="20"/>
              </w:rPr>
              <w:br/>
              <w:t>2020/21</w:t>
            </w:r>
          </w:p>
        </w:tc>
        <w:tc>
          <w:tcPr>
            <w:tcW w:w="111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CE33E3A" w14:textId="77777777" w:rsidR="00EB61EA" w:rsidRPr="004975B7" w:rsidRDefault="00EB61EA" w:rsidP="00705EED">
            <w:pPr>
              <w:jc w:val="center"/>
              <w:rPr>
                <w:rFonts w:eastAsia="Times New Roman" w:cs="Arial"/>
                <w:b/>
                <w:bCs/>
                <w:sz w:val="20"/>
                <w:szCs w:val="20"/>
              </w:rPr>
            </w:pPr>
            <w:r w:rsidRPr="004975B7">
              <w:rPr>
                <w:rFonts w:eastAsia="Times New Roman" w:cs="Arial"/>
                <w:b/>
                <w:bCs/>
                <w:sz w:val="20"/>
                <w:szCs w:val="20"/>
              </w:rPr>
              <w:t xml:space="preserve">Quarter 2 </w:t>
            </w:r>
            <w:r w:rsidRPr="004975B7">
              <w:rPr>
                <w:rFonts w:eastAsia="Times New Roman" w:cs="Arial"/>
                <w:b/>
                <w:bCs/>
                <w:sz w:val="20"/>
                <w:szCs w:val="20"/>
              </w:rPr>
              <w:br/>
              <w:t>2020/21</w:t>
            </w:r>
          </w:p>
        </w:tc>
        <w:tc>
          <w:tcPr>
            <w:tcW w:w="113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4D6F0FD" w14:textId="77777777" w:rsidR="00EB61EA" w:rsidRPr="004975B7" w:rsidRDefault="00EB61EA" w:rsidP="00705EED">
            <w:pPr>
              <w:jc w:val="center"/>
              <w:rPr>
                <w:rFonts w:eastAsia="Times New Roman" w:cs="Arial"/>
                <w:b/>
                <w:bCs/>
                <w:sz w:val="20"/>
                <w:szCs w:val="20"/>
              </w:rPr>
            </w:pPr>
            <w:r w:rsidRPr="004975B7">
              <w:rPr>
                <w:rFonts w:eastAsia="Times New Roman" w:cs="Arial"/>
                <w:b/>
                <w:bCs/>
                <w:sz w:val="20"/>
                <w:szCs w:val="20"/>
              </w:rPr>
              <w:t xml:space="preserve">Quarter 3 </w:t>
            </w:r>
            <w:r w:rsidRPr="004975B7">
              <w:rPr>
                <w:rFonts w:eastAsia="Times New Roman" w:cs="Arial"/>
                <w:b/>
                <w:bCs/>
                <w:sz w:val="20"/>
                <w:szCs w:val="20"/>
              </w:rPr>
              <w:br/>
              <w:t>2020/21</w:t>
            </w:r>
          </w:p>
        </w:tc>
        <w:tc>
          <w:tcPr>
            <w:tcW w:w="113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4E80369" w14:textId="77777777" w:rsidR="00EB61EA" w:rsidRPr="004975B7" w:rsidRDefault="00EB61EA" w:rsidP="00705EED">
            <w:pPr>
              <w:jc w:val="center"/>
              <w:rPr>
                <w:rFonts w:eastAsia="Times New Roman" w:cs="Arial"/>
                <w:b/>
                <w:bCs/>
                <w:sz w:val="20"/>
                <w:szCs w:val="20"/>
              </w:rPr>
            </w:pPr>
            <w:r w:rsidRPr="004975B7">
              <w:rPr>
                <w:rFonts w:eastAsia="Times New Roman" w:cs="Arial"/>
                <w:b/>
                <w:bCs/>
                <w:sz w:val="20"/>
                <w:szCs w:val="20"/>
              </w:rPr>
              <w:t xml:space="preserve">Quarter 4 </w:t>
            </w:r>
            <w:r w:rsidRPr="004975B7">
              <w:rPr>
                <w:rFonts w:eastAsia="Times New Roman" w:cs="Arial"/>
                <w:b/>
                <w:bCs/>
                <w:sz w:val="20"/>
                <w:szCs w:val="20"/>
              </w:rPr>
              <w:br/>
              <w:t>2020/21</w:t>
            </w:r>
          </w:p>
        </w:tc>
        <w:tc>
          <w:tcPr>
            <w:tcW w:w="108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3D7A364" w14:textId="77777777" w:rsidR="00EB61EA" w:rsidRPr="004975B7" w:rsidRDefault="00EB61EA" w:rsidP="00705EED">
            <w:pPr>
              <w:jc w:val="center"/>
              <w:rPr>
                <w:rFonts w:eastAsia="Times New Roman" w:cs="Arial"/>
                <w:b/>
                <w:bCs/>
                <w:sz w:val="20"/>
                <w:szCs w:val="20"/>
              </w:rPr>
            </w:pPr>
            <w:r w:rsidRPr="004975B7">
              <w:rPr>
                <w:rFonts w:eastAsia="Times New Roman" w:cs="Arial"/>
                <w:b/>
                <w:bCs/>
                <w:sz w:val="20"/>
                <w:szCs w:val="20"/>
              </w:rPr>
              <w:t>2020/21 total</w:t>
            </w:r>
          </w:p>
        </w:tc>
      </w:tr>
      <w:tr w:rsidR="00EB61EA" w:rsidRPr="004975B7" w14:paraId="57112EF2" w14:textId="77777777" w:rsidTr="00705EED">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78BA" w14:textId="77777777" w:rsidR="00EB61EA" w:rsidRPr="004975B7" w:rsidRDefault="00EB61EA" w:rsidP="00EB61EA">
            <w:pPr>
              <w:pStyle w:val="ListParagraph"/>
              <w:numPr>
                <w:ilvl w:val="0"/>
                <w:numId w:val="1"/>
              </w:numPr>
              <w:ind w:left="333" w:hanging="284"/>
              <w:rPr>
                <w:rFonts w:ascii="Arial" w:hAnsi="Arial" w:cs="Arial"/>
                <w:color w:val="000000"/>
                <w:sz w:val="20"/>
                <w:szCs w:val="20"/>
              </w:rPr>
            </w:pPr>
            <w:r w:rsidRPr="004975B7">
              <w:rPr>
                <w:rFonts w:ascii="Arial" w:hAnsi="Arial" w:cs="Arial"/>
                <w:color w:val="000000"/>
                <w:sz w:val="20"/>
                <w:szCs w:val="20"/>
              </w:rPr>
              <w:t>Total number of deaths reported on SWYPFT clinical systems where there has been system activity within 180 days of date of death</w:t>
            </w:r>
          </w:p>
        </w:tc>
        <w:tc>
          <w:tcPr>
            <w:tcW w:w="1225" w:type="dxa"/>
            <w:tcBorders>
              <w:top w:val="single" w:sz="4" w:space="0" w:color="auto"/>
              <w:left w:val="nil"/>
              <w:bottom w:val="single" w:sz="4" w:space="0" w:color="auto"/>
              <w:right w:val="single" w:sz="4" w:space="0" w:color="auto"/>
            </w:tcBorders>
            <w:vAlign w:val="center"/>
          </w:tcPr>
          <w:p w14:paraId="06146292" w14:textId="77777777" w:rsidR="00EB61EA" w:rsidRPr="004975B7" w:rsidRDefault="00EB61EA" w:rsidP="00705EED">
            <w:pPr>
              <w:jc w:val="center"/>
              <w:rPr>
                <w:rFonts w:cs="Arial"/>
                <w:color w:val="FF0000"/>
                <w:sz w:val="20"/>
                <w:szCs w:val="20"/>
              </w:rPr>
            </w:pPr>
            <w:r w:rsidRPr="004975B7">
              <w:rPr>
                <w:rFonts w:cs="Arial"/>
                <w:sz w:val="20"/>
                <w:szCs w:val="20"/>
              </w:rPr>
              <w:t>3394</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57163D33" w14:textId="77777777" w:rsidR="00EB61EA" w:rsidRPr="004975B7" w:rsidRDefault="00EB61EA" w:rsidP="00705EED">
            <w:pPr>
              <w:jc w:val="center"/>
              <w:rPr>
                <w:rFonts w:cs="Arial"/>
                <w:sz w:val="20"/>
                <w:szCs w:val="20"/>
              </w:rPr>
            </w:pPr>
            <w:r w:rsidRPr="004975B7">
              <w:rPr>
                <w:rFonts w:cs="Arial"/>
                <w:sz w:val="20"/>
                <w:szCs w:val="20"/>
              </w:rPr>
              <w:t>1190</w:t>
            </w:r>
          </w:p>
        </w:tc>
        <w:tc>
          <w:tcPr>
            <w:tcW w:w="1114" w:type="dxa"/>
            <w:tcBorders>
              <w:top w:val="nil"/>
              <w:left w:val="nil"/>
              <w:bottom w:val="single" w:sz="4" w:space="0" w:color="auto"/>
              <w:right w:val="single" w:sz="4" w:space="0" w:color="auto"/>
            </w:tcBorders>
            <w:shd w:val="clear" w:color="auto" w:fill="auto"/>
            <w:vAlign w:val="center"/>
            <w:hideMark/>
          </w:tcPr>
          <w:p w14:paraId="0B36B648" w14:textId="77777777" w:rsidR="00EB61EA" w:rsidRPr="004975B7" w:rsidRDefault="00EB61EA" w:rsidP="00705EED">
            <w:pPr>
              <w:jc w:val="center"/>
              <w:rPr>
                <w:rFonts w:cs="Arial"/>
                <w:sz w:val="20"/>
                <w:szCs w:val="20"/>
              </w:rPr>
            </w:pPr>
            <w:r w:rsidRPr="004975B7">
              <w:rPr>
                <w:rFonts w:cs="Arial"/>
                <w:sz w:val="20"/>
                <w:szCs w:val="20"/>
              </w:rPr>
              <w:t>784</w:t>
            </w:r>
          </w:p>
        </w:tc>
        <w:tc>
          <w:tcPr>
            <w:tcW w:w="1133" w:type="dxa"/>
            <w:tcBorders>
              <w:top w:val="nil"/>
              <w:left w:val="nil"/>
              <w:bottom w:val="single" w:sz="4" w:space="0" w:color="auto"/>
              <w:right w:val="single" w:sz="4" w:space="0" w:color="auto"/>
            </w:tcBorders>
            <w:shd w:val="clear" w:color="auto" w:fill="auto"/>
            <w:vAlign w:val="center"/>
            <w:hideMark/>
          </w:tcPr>
          <w:p w14:paraId="4CFB9915" w14:textId="77777777" w:rsidR="00EB61EA" w:rsidRPr="004975B7" w:rsidRDefault="00EB61EA" w:rsidP="00705EED">
            <w:pPr>
              <w:jc w:val="center"/>
              <w:rPr>
                <w:rFonts w:cs="Arial"/>
                <w:sz w:val="20"/>
                <w:szCs w:val="20"/>
              </w:rPr>
            </w:pPr>
            <w:r w:rsidRPr="004975B7">
              <w:rPr>
                <w:rFonts w:cs="Arial"/>
                <w:sz w:val="20"/>
                <w:szCs w:val="20"/>
              </w:rPr>
              <w:t>1174</w:t>
            </w:r>
          </w:p>
        </w:tc>
        <w:tc>
          <w:tcPr>
            <w:tcW w:w="1133" w:type="dxa"/>
            <w:tcBorders>
              <w:top w:val="nil"/>
              <w:left w:val="nil"/>
              <w:bottom w:val="single" w:sz="4" w:space="0" w:color="auto"/>
              <w:right w:val="single" w:sz="4" w:space="0" w:color="auto"/>
            </w:tcBorders>
            <w:shd w:val="clear" w:color="auto" w:fill="auto"/>
            <w:vAlign w:val="center"/>
            <w:hideMark/>
          </w:tcPr>
          <w:p w14:paraId="6B2CABEB" w14:textId="77777777" w:rsidR="00EB61EA" w:rsidRPr="004975B7" w:rsidRDefault="00EB61EA" w:rsidP="00705EED">
            <w:pPr>
              <w:jc w:val="center"/>
              <w:rPr>
                <w:rFonts w:cs="Arial"/>
                <w:sz w:val="20"/>
                <w:szCs w:val="20"/>
              </w:rPr>
            </w:pPr>
            <w:r w:rsidRPr="004975B7">
              <w:rPr>
                <w:rFonts w:cs="Arial"/>
                <w:sz w:val="20"/>
                <w:szCs w:val="20"/>
              </w:rPr>
              <w:t>937</w:t>
            </w:r>
          </w:p>
        </w:tc>
        <w:tc>
          <w:tcPr>
            <w:tcW w:w="1084" w:type="dxa"/>
            <w:tcBorders>
              <w:top w:val="nil"/>
              <w:left w:val="nil"/>
              <w:bottom w:val="single" w:sz="4" w:space="0" w:color="auto"/>
              <w:right w:val="single" w:sz="4" w:space="0" w:color="auto"/>
            </w:tcBorders>
            <w:shd w:val="clear" w:color="auto" w:fill="auto"/>
            <w:vAlign w:val="center"/>
            <w:hideMark/>
          </w:tcPr>
          <w:p w14:paraId="2BCC48CA" w14:textId="77777777" w:rsidR="00EB61EA" w:rsidRPr="004975B7" w:rsidRDefault="00EB61EA" w:rsidP="00705EED">
            <w:pPr>
              <w:jc w:val="center"/>
              <w:rPr>
                <w:rFonts w:cs="Arial"/>
                <w:sz w:val="20"/>
                <w:szCs w:val="20"/>
              </w:rPr>
            </w:pPr>
            <w:r w:rsidRPr="004975B7">
              <w:rPr>
                <w:rFonts w:cs="Arial"/>
                <w:sz w:val="20"/>
                <w:szCs w:val="20"/>
              </w:rPr>
              <w:t>4085</w:t>
            </w:r>
          </w:p>
        </w:tc>
      </w:tr>
      <w:tr w:rsidR="00EB61EA" w:rsidRPr="004975B7" w14:paraId="183ED0C7" w14:textId="77777777" w:rsidTr="00705EED">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D148" w14:textId="77777777" w:rsidR="00EB61EA" w:rsidRPr="004975B7" w:rsidRDefault="00EB61EA" w:rsidP="00EB61EA">
            <w:pPr>
              <w:pStyle w:val="ListParagraph"/>
              <w:numPr>
                <w:ilvl w:val="0"/>
                <w:numId w:val="1"/>
              </w:numPr>
              <w:ind w:left="333" w:hanging="284"/>
              <w:rPr>
                <w:rFonts w:ascii="Arial" w:hAnsi="Arial" w:cs="Arial"/>
                <w:sz w:val="20"/>
                <w:szCs w:val="20"/>
              </w:rPr>
            </w:pPr>
            <w:r w:rsidRPr="004975B7">
              <w:rPr>
                <w:rFonts w:ascii="Arial" w:hAnsi="Arial" w:cs="Arial"/>
                <w:color w:val="000000"/>
                <w:sz w:val="20"/>
                <w:szCs w:val="20"/>
                <w:lang w:eastAsia="en-GB"/>
              </w:rPr>
              <w:t>Total number of deaths reported on Datix by staff (by reported date, not date of death) and reviewed</w:t>
            </w:r>
          </w:p>
        </w:tc>
        <w:tc>
          <w:tcPr>
            <w:tcW w:w="1225" w:type="dxa"/>
            <w:tcBorders>
              <w:top w:val="single" w:sz="4" w:space="0" w:color="auto"/>
              <w:left w:val="nil"/>
              <w:bottom w:val="single" w:sz="4" w:space="0" w:color="auto"/>
              <w:right w:val="single" w:sz="4" w:space="0" w:color="auto"/>
            </w:tcBorders>
            <w:vAlign w:val="center"/>
          </w:tcPr>
          <w:p w14:paraId="2363890E" w14:textId="77777777" w:rsidR="00EB61EA" w:rsidRPr="004975B7" w:rsidRDefault="00EB61EA" w:rsidP="00705EED">
            <w:pPr>
              <w:jc w:val="center"/>
              <w:rPr>
                <w:rFonts w:cs="Arial"/>
                <w:color w:val="FF0000"/>
                <w:sz w:val="20"/>
                <w:szCs w:val="20"/>
              </w:rPr>
            </w:pPr>
            <w:r w:rsidRPr="004975B7">
              <w:rPr>
                <w:rFonts w:eastAsia="Times New Roman" w:cs="Arial"/>
                <w:color w:val="000000"/>
                <w:sz w:val="20"/>
                <w:szCs w:val="20"/>
                <w:lang w:eastAsia="en-GB"/>
              </w:rPr>
              <w:t>355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3C8DA605"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132</w:t>
            </w:r>
          </w:p>
        </w:tc>
        <w:tc>
          <w:tcPr>
            <w:tcW w:w="1114" w:type="dxa"/>
            <w:tcBorders>
              <w:top w:val="nil"/>
              <w:left w:val="nil"/>
              <w:bottom w:val="single" w:sz="4" w:space="0" w:color="auto"/>
              <w:right w:val="single" w:sz="4" w:space="0" w:color="auto"/>
            </w:tcBorders>
            <w:shd w:val="clear" w:color="auto" w:fill="auto"/>
            <w:vAlign w:val="center"/>
            <w:hideMark/>
          </w:tcPr>
          <w:p w14:paraId="2126CFAE"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76</w:t>
            </w:r>
          </w:p>
        </w:tc>
        <w:tc>
          <w:tcPr>
            <w:tcW w:w="1133" w:type="dxa"/>
            <w:tcBorders>
              <w:top w:val="nil"/>
              <w:left w:val="nil"/>
              <w:bottom w:val="single" w:sz="4" w:space="0" w:color="auto"/>
              <w:right w:val="single" w:sz="4" w:space="0" w:color="auto"/>
            </w:tcBorders>
            <w:shd w:val="clear" w:color="auto" w:fill="auto"/>
            <w:vAlign w:val="center"/>
            <w:hideMark/>
          </w:tcPr>
          <w:p w14:paraId="68FA1316"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115</w:t>
            </w:r>
          </w:p>
        </w:tc>
        <w:tc>
          <w:tcPr>
            <w:tcW w:w="1133" w:type="dxa"/>
            <w:tcBorders>
              <w:top w:val="nil"/>
              <w:left w:val="nil"/>
              <w:bottom w:val="single" w:sz="4" w:space="0" w:color="auto"/>
              <w:right w:val="single" w:sz="4" w:space="0" w:color="auto"/>
            </w:tcBorders>
            <w:shd w:val="clear" w:color="auto" w:fill="auto"/>
            <w:vAlign w:val="center"/>
            <w:hideMark/>
          </w:tcPr>
          <w:p w14:paraId="5CBB1AC4"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102</w:t>
            </w:r>
          </w:p>
        </w:tc>
        <w:tc>
          <w:tcPr>
            <w:tcW w:w="1084" w:type="dxa"/>
            <w:tcBorders>
              <w:top w:val="nil"/>
              <w:left w:val="nil"/>
              <w:bottom w:val="single" w:sz="4" w:space="0" w:color="auto"/>
              <w:right w:val="single" w:sz="4" w:space="0" w:color="auto"/>
            </w:tcBorders>
            <w:shd w:val="clear" w:color="auto" w:fill="auto"/>
            <w:vAlign w:val="center"/>
            <w:hideMark/>
          </w:tcPr>
          <w:p w14:paraId="10FEC100"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411</w:t>
            </w:r>
          </w:p>
        </w:tc>
      </w:tr>
      <w:tr w:rsidR="00EB61EA" w:rsidRPr="004975B7" w14:paraId="529CB88B" w14:textId="77777777" w:rsidTr="00705EED">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C297A" w14:textId="77777777" w:rsidR="00EB61EA" w:rsidRPr="004975B7" w:rsidRDefault="00EB61EA" w:rsidP="00EB61EA">
            <w:pPr>
              <w:pStyle w:val="ListParagraph"/>
              <w:numPr>
                <w:ilvl w:val="0"/>
                <w:numId w:val="1"/>
              </w:numPr>
              <w:ind w:left="333" w:hanging="284"/>
              <w:rPr>
                <w:rFonts w:ascii="Arial" w:hAnsi="Arial" w:cs="Arial"/>
                <w:color w:val="0D0D0D"/>
                <w:sz w:val="20"/>
                <w:szCs w:val="20"/>
              </w:rPr>
            </w:pPr>
            <w:r w:rsidRPr="004975B7">
              <w:rPr>
                <w:rFonts w:ascii="Arial" w:hAnsi="Arial" w:cs="Arial"/>
                <w:color w:val="0D0D0D"/>
                <w:sz w:val="20"/>
                <w:szCs w:val="20"/>
              </w:rPr>
              <w:t xml:space="preserve">Total Number of deaths which were in scope </w:t>
            </w:r>
          </w:p>
        </w:tc>
        <w:tc>
          <w:tcPr>
            <w:tcW w:w="1225" w:type="dxa"/>
            <w:tcBorders>
              <w:top w:val="single" w:sz="4" w:space="0" w:color="auto"/>
              <w:left w:val="nil"/>
              <w:bottom w:val="single" w:sz="4" w:space="0" w:color="auto"/>
              <w:right w:val="single" w:sz="4" w:space="0" w:color="auto"/>
            </w:tcBorders>
            <w:vAlign w:val="center"/>
          </w:tcPr>
          <w:p w14:paraId="652FF639" w14:textId="77777777" w:rsidR="00EB61EA" w:rsidRPr="004975B7" w:rsidRDefault="00EB61EA" w:rsidP="00705EED">
            <w:pPr>
              <w:jc w:val="center"/>
              <w:rPr>
                <w:rFonts w:cs="Arial"/>
                <w:color w:val="FF0000"/>
                <w:sz w:val="20"/>
                <w:szCs w:val="20"/>
              </w:rPr>
            </w:pPr>
            <w:r w:rsidRPr="004975B7">
              <w:rPr>
                <w:rFonts w:eastAsia="Times New Roman" w:cs="Arial"/>
                <w:color w:val="000000"/>
                <w:sz w:val="20"/>
                <w:szCs w:val="20"/>
                <w:lang w:eastAsia="en-GB"/>
              </w:rPr>
              <w:t>286</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7C05DECA" w14:textId="77777777" w:rsidR="00EB61EA" w:rsidRPr="004975B7" w:rsidRDefault="00EB61EA" w:rsidP="00705EED">
            <w:pPr>
              <w:jc w:val="center"/>
              <w:rPr>
                <w:rFonts w:cs="Arial"/>
                <w:color w:val="0D0D0D"/>
                <w:sz w:val="20"/>
                <w:szCs w:val="20"/>
              </w:rPr>
            </w:pPr>
            <w:r w:rsidRPr="004975B7">
              <w:rPr>
                <w:rFonts w:eastAsia="Times New Roman" w:cs="Arial"/>
                <w:color w:val="000000"/>
                <w:sz w:val="20"/>
                <w:szCs w:val="20"/>
                <w:lang w:eastAsia="en-GB"/>
              </w:rPr>
              <w:t>93</w:t>
            </w:r>
          </w:p>
        </w:tc>
        <w:tc>
          <w:tcPr>
            <w:tcW w:w="1114" w:type="dxa"/>
            <w:tcBorders>
              <w:top w:val="nil"/>
              <w:left w:val="nil"/>
              <w:bottom w:val="single" w:sz="4" w:space="0" w:color="auto"/>
              <w:right w:val="single" w:sz="4" w:space="0" w:color="auto"/>
            </w:tcBorders>
            <w:shd w:val="clear" w:color="auto" w:fill="auto"/>
            <w:vAlign w:val="center"/>
            <w:hideMark/>
          </w:tcPr>
          <w:p w14:paraId="0840F5C7" w14:textId="77777777" w:rsidR="00EB61EA" w:rsidRPr="004975B7" w:rsidRDefault="00EB61EA" w:rsidP="00705EED">
            <w:pPr>
              <w:jc w:val="center"/>
              <w:rPr>
                <w:rFonts w:cs="Arial"/>
                <w:color w:val="0D0D0D"/>
                <w:sz w:val="20"/>
                <w:szCs w:val="20"/>
              </w:rPr>
            </w:pPr>
            <w:r w:rsidRPr="004975B7">
              <w:rPr>
                <w:rFonts w:eastAsia="Times New Roman" w:cs="Arial"/>
                <w:color w:val="000000"/>
                <w:sz w:val="20"/>
                <w:szCs w:val="20"/>
                <w:lang w:eastAsia="en-GB"/>
              </w:rPr>
              <w:t>71</w:t>
            </w:r>
          </w:p>
        </w:tc>
        <w:tc>
          <w:tcPr>
            <w:tcW w:w="1133" w:type="dxa"/>
            <w:tcBorders>
              <w:top w:val="nil"/>
              <w:left w:val="nil"/>
              <w:bottom w:val="single" w:sz="4" w:space="0" w:color="auto"/>
              <w:right w:val="single" w:sz="4" w:space="0" w:color="auto"/>
            </w:tcBorders>
            <w:shd w:val="clear" w:color="auto" w:fill="auto"/>
            <w:vAlign w:val="center"/>
            <w:hideMark/>
          </w:tcPr>
          <w:p w14:paraId="3F2199A7" w14:textId="77777777" w:rsidR="00EB61EA" w:rsidRPr="004975B7" w:rsidRDefault="00EB61EA" w:rsidP="00705EED">
            <w:pPr>
              <w:jc w:val="center"/>
              <w:rPr>
                <w:rFonts w:cs="Arial"/>
                <w:color w:val="0D0D0D"/>
                <w:sz w:val="20"/>
                <w:szCs w:val="20"/>
              </w:rPr>
            </w:pPr>
            <w:r w:rsidRPr="004975B7">
              <w:rPr>
                <w:rFonts w:eastAsia="Times New Roman" w:cs="Arial"/>
                <w:color w:val="000000"/>
                <w:sz w:val="20"/>
                <w:szCs w:val="20"/>
                <w:lang w:eastAsia="en-GB"/>
              </w:rPr>
              <w:t>85</w:t>
            </w:r>
          </w:p>
        </w:tc>
        <w:tc>
          <w:tcPr>
            <w:tcW w:w="1133" w:type="dxa"/>
            <w:tcBorders>
              <w:top w:val="nil"/>
              <w:left w:val="nil"/>
              <w:bottom w:val="single" w:sz="4" w:space="0" w:color="auto"/>
              <w:right w:val="single" w:sz="4" w:space="0" w:color="auto"/>
            </w:tcBorders>
            <w:shd w:val="clear" w:color="auto" w:fill="auto"/>
            <w:vAlign w:val="center"/>
            <w:hideMark/>
          </w:tcPr>
          <w:p w14:paraId="071064A7"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86</w:t>
            </w:r>
          </w:p>
        </w:tc>
        <w:tc>
          <w:tcPr>
            <w:tcW w:w="1084" w:type="dxa"/>
            <w:tcBorders>
              <w:top w:val="nil"/>
              <w:left w:val="nil"/>
              <w:bottom w:val="single" w:sz="4" w:space="0" w:color="auto"/>
              <w:right w:val="single" w:sz="4" w:space="0" w:color="auto"/>
            </w:tcBorders>
            <w:shd w:val="clear" w:color="auto" w:fill="auto"/>
            <w:vAlign w:val="center"/>
            <w:hideMark/>
          </w:tcPr>
          <w:p w14:paraId="1AF20B00"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335</w:t>
            </w:r>
          </w:p>
        </w:tc>
      </w:tr>
      <w:tr w:rsidR="00EB61EA" w:rsidRPr="004975B7" w14:paraId="20FCA8DA" w14:textId="77777777" w:rsidTr="00705EED">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09984" w14:textId="77777777" w:rsidR="00EB61EA" w:rsidRPr="004975B7" w:rsidRDefault="00EB61EA" w:rsidP="00EB61EA">
            <w:pPr>
              <w:pStyle w:val="ListParagraph"/>
              <w:numPr>
                <w:ilvl w:val="0"/>
                <w:numId w:val="1"/>
              </w:numPr>
              <w:ind w:left="333" w:hanging="284"/>
              <w:rPr>
                <w:rFonts w:ascii="Arial" w:hAnsi="Arial" w:cs="Arial"/>
                <w:sz w:val="20"/>
                <w:szCs w:val="20"/>
              </w:rPr>
            </w:pPr>
            <w:r w:rsidRPr="004975B7">
              <w:rPr>
                <w:rFonts w:ascii="Arial" w:hAnsi="Arial" w:cs="Arial"/>
                <w:sz w:val="20"/>
                <w:szCs w:val="20"/>
              </w:rPr>
              <w:t xml:space="preserve">Total Number of deaths reported on Datix that were not in the Trust's scope </w:t>
            </w:r>
          </w:p>
        </w:tc>
        <w:tc>
          <w:tcPr>
            <w:tcW w:w="1225" w:type="dxa"/>
            <w:tcBorders>
              <w:top w:val="single" w:sz="4" w:space="0" w:color="auto"/>
              <w:left w:val="single" w:sz="4" w:space="0" w:color="auto"/>
              <w:bottom w:val="single" w:sz="4" w:space="0" w:color="auto"/>
              <w:right w:val="single" w:sz="4" w:space="0" w:color="auto"/>
            </w:tcBorders>
            <w:vAlign w:val="center"/>
          </w:tcPr>
          <w:p w14:paraId="51EE41CE" w14:textId="77777777" w:rsidR="00EB61EA" w:rsidRPr="004975B7" w:rsidRDefault="00EB61EA" w:rsidP="00705EED">
            <w:pPr>
              <w:jc w:val="center"/>
              <w:rPr>
                <w:rFonts w:cs="Arial"/>
                <w:color w:val="FF0000"/>
                <w:sz w:val="20"/>
                <w:szCs w:val="20"/>
              </w:rPr>
            </w:pPr>
            <w:r w:rsidRPr="004975B7">
              <w:rPr>
                <w:rFonts w:eastAsia="Times New Roman" w:cs="Arial"/>
                <w:color w:val="000000"/>
                <w:sz w:val="20"/>
                <w:szCs w:val="20"/>
                <w:lang w:eastAsia="en-GB"/>
              </w:rPr>
              <w:t>51</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3C5F6868"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25</w:t>
            </w:r>
          </w:p>
        </w:tc>
        <w:tc>
          <w:tcPr>
            <w:tcW w:w="1114" w:type="dxa"/>
            <w:tcBorders>
              <w:top w:val="nil"/>
              <w:left w:val="nil"/>
              <w:bottom w:val="single" w:sz="4" w:space="0" w:color="auto"/>
              <w:right w:val="single" w:sz="4" w:space="0" w:color="auto"/>
            </w:tcBorders>
            <w:shd w:val="clear" w:color="auto" w:fill="auto"/>
            <w:vAlign w:val="center"/>
            <w:hideMark/>
          </w:tcPr>
          <w:p w14:paraId="33353F30"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5</w:t>
            </w:r>
          </w:p>
        </w:tc>
        <w:tc>
          <w:tcPr>
            <w:tcW w:w="1133" w:type="dxa"/>
            <w:tcBorders>
              <w:top w:val="nil"/>
              <w:left w:val="nil"/>
              <w:bottom w:val="single" w:sz="4" w:space="0" w:color="auto"/>
              <w:right w:val="single" w:sz="4" w:space="0" w:color="auto"/>
            </w:tcBorders>
            <w:shd w:val="clear" w:color="auto" w:fill="auto"/>
            <w:vAlign w:val="center"/>
            <w:hideMark/>
          </w:tcPr>
          <w:p w14:paraId="1CC5F360"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30</w:t>
            </w:r>
          </w:p>
        </w:tc>
        <w:tc>
          <w:tcPr>
            <w:tcW w:w="1133" w:type="dxa"/>
            <w:tcBorders>
              <w:top w:val="nil"/>
              <w:left w:val="nil"/>
              <w:bottom w:val="single" w:sz="4" w:space="0" w:color="auto"/>
              <w:right w:val="single" w:sz="4" w:space="0" w:color="auto"/>
            </w:tcBorders>
            <w:shd w:val="clear" w:color="auto" w:fill="auto"/>
            <w:vAlign w:val="center"/>
            <w:hideMark/>
          </w:tcPr>
          <w:p w14:paraId="711662AB"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16</w:t>
            </w:r>
          </w:p>
        </w:tc>
        <w:tc>
          <w:tcPr>
            <w:tcW w:w="1084" w:type="dxa"/>
            <w:tcBorders>
              <w:top w:val="nil"/>
              <w:left w:val="nil"/>
              <w:bottom w:val="single" w:sz="4" w:space="0" w:color="auto"/>
              <w:right w:val="single" w:sz="4" w:space="0" w:color="auto"/>
            </w:tcBorders>
            <w:shd w:val="clear" w:color="auto" w:fill="auto"/>
            <w:vAlign w:val="center"/>
            <w:hideMark/>
          </w:tcPr>
          <w:p w14:paraId="02D42E30" w14:textId="77777777" w:rsidR="00EB61EA" w:rsidRPr="004975B7" w:rsidRDefault="00EB61EA" w:rsidP="00705EED">
            <w:pPr>
              <w:jc w:val="center"/>
              <w:rPr>
                <w:rFonts w:cs="Arial"/>
                <w:sz w:val="20"/>
                <w:szCs w:val="20"/>
              </w:rPr>
            </w:pPr>
            <w:r w:rsidRPr="004975B7">
              <w:rPr>
                <w:rFonts w:eastAsia="Times New Roman" w:cs="Arial"/>
                <w:color w:val="000000"/>
                <w:sz w:val="20"/>
                <w:szCs w:val="20"/>
                <w:lang w:eastAsia="en-GB"/>
              </w:rPr>
              <w:t>76</w:t>
            </w:r>
          </w:p>
        </w:tc>
      </w:tr>
    </w:tbl>
    <w:p w14:paraId="17E67CA1" w14:textId="77777777" w:rsidR="00EB61EA" w:rsidRPr="004975B7" w:rsidRDefault="00EB61EA" w:rsidP="00EB61EA">
      <w:pPr>
        <w:ind w:right="-359"/>
        <w:rPr>
          <w:rFonts w:cs="Arial"/>
          <w:noProof/>
          <w:sz w:val="18"/>
          <w:szCs w:val="18"/>
        </w:rPr>
      </w:pPr>
      <w:r w:rsidRPr="004975B7">
        <w:rPr>
          <w:rFonts w:cs="Arial"/>
          <w:noProof/>
          <w:sz w:val="18"/>
          <w:szCs w:val="18"/>
        </w:rPr>
        <w:t>*Data extracted from Business Intelligence Dashboards and Datix risk management systems. Data is refreshed each quarter so figures may differ from previous reports.     Data changes where records may have been amended or added within live systems. Dashboard format and content as agreed by Northern Alliance group</w:t>
      </w:r>
    </w:p>
    <w:p w14:paraId="0047F745" w14:textId="77777777" w:rsidR="00EB61EA" w:rsidRPr="00575080" w:rsidRDefault="00EB61EA" w:rsidP="00EB61EA">
      <w:pPr>
        <w:autoSpaceDE w:val="0"/>
        <w:autoSpaceDN w:val="0"/>
        <w:adjustRightInd w:val="0"/>
        <w:jc w:val="both"/>
        <w:rPr>
          <w:rFonts w:cs="Arial"/>
          <w:sz w:val="22"/>
          <w:szCs w:val="22"/>
          <w:highlight w:val="yellow"/>
        </w:rPr>
      </w:pPr>
    </w:p>
    <w:p w14:paraId="63E5D02E" w14:textId="60C67C09" w:rsidR="00EB61EA" w:rsidRPr="00575080" w:rsidRDefault="00EB61EA" w:rsidP="00EB61EA">
      <w:pPr>
        <w:pStyle w:val="Default"/>
        <w:jc w:val="both"/>
        <w:rPr>
          <w:rFonts w:ascii="Arial" w:hAnsi="Arial" w:cs="Arial"/>
          <w:sz w:val="22"/>
          <w:szCs w:val="22"/>
          <w:highlight w:val="yellow"/>
        </w:rPr>
      </w:pPr>
      <w:r w:rsidRPr="004975B7">
        <w:rPr>
          <w:rFonts w:ascii="Arial" w:hAnsi="Arial" w:cs="Arial"/>
          <w:sz w:val="22"/>
          <w:szCs w:val="22"/>
        </w:rPr>
        <w:t xml:space="preserve">Not all these deaths were reportable as incidents on Datix.  Row 2 </w:t>
      </w:r>
      <w:r w:rsidRPr="004975B7">
        <w:rPr>
          <w:rFonts w:ascii="Arial" w:hAnsi="Arial" w:cs="Arial"/>
          <w:color w:val="auto"/>
          <w:sz w:val="22"/>
          <w:szCs w:val="22"/>
        </w:rPr>
        <w:t xml:space="preserve">in </w:t>
      </w:r>
      <w:r w:rsidRPr="00DF6332">
        <w:rPr>
          <w:rFonts w:ascii="Arial" w:hAnsi="Arial" w:cs="Arial"/>
          <w:color w:val="auto"/>
          <w:sz w:val="22"/>
          <w:szCs w:val="22"/>
        </w:rPr>
        <w:t xml:space="preserve">Figure </w:t>
      </w:r>
      <w:r w:rsidR="004E4993">
        <w:rPr>
          <w:rFonts w:ascii="Arial" w:hAnsi="Arial" w:cs="Arial"/>
          <w:color w:val="auto"/>
          <w:sz w:val="22"/>
          <w:szCs w:val="22"/>
        </w:rPr>
        <w:t>1</w:t>
      </w:r>
      <w:r w:rsidRPr="00DF6332">
        <w:rPr>
          <w:rFonts w:ascii="Arial" w:hAnsi="Arial" w:cs="Arial"/>
          <w:color w:val="auto"/>
          <w:sz w:val="22"/>
          <w:szCs w:val="22"/>
        </w:rPr>
        <w:t xml:space="preserve"> </w:t>
      </w:r>
      <w:r w:rsidRPr="004975B7">
        <w:rPr>
          <w:rFonts w:ascii="Arial" w:hAnsi="Arial" w:cs="Arial"/>
          <w:sz w:val="22"/>
          <w:szCs w:val="22"/>
        </w:rPr>
        <w:t xml:space="preserve">shows that 411 deaths were reported on Datix in the year, with the quarterly breakdown. The yearly total is an increase on 2019/20 (355).  </w:t>
      </w:r>
    </w:p>
    <w:p w14:paraId="027064CF" w14:textId="77777777" w:rsidR="00EB61EA" w:rsidRPr="004975B7" w:rsidRDefault="00EB61EA" w:rsidP="00EB61EA">
      <w:pPr>
        <w:pStyle w:val="Default"/>
        <w:rPr>
          <w:rFonts w:ascii="Arial" w:hAnsi="Arial" w:cs="Arial"/>
          <w:sz w:val="22"/>
          <w:szCs w:val="22"/>
        </w:rPr>
      </w:pPr>
    </w:p>
    <w:p w14:paraId="2CD810DF" w14:textId="163CEF2E" w:rsidR="00EB61EA" w:rsidRPr="00575080" w:rsidRDefault="00EB61EA" w:rsidP="00EB61EA">
      <w:pPr>
        <w:pStyle w:val="Default"/>
        <w:jc w:val="both"/>
        <w:rPr>
          <w:rFonts w:ascii="Arial" w:hAnsi="Arial" w:cs="Arial"/>
          <w:color w:val="auto"/>
          <w:sz w:val="22"/>
          <w:szCs w:val="22"/>
          <w:highlight w:val="yellow"/>
        </w:rPr>
      </w:pPr>
      <w:r w:rsidRPr="004975B7">
        <w:rPr>
          <w:rFonts w:ascii="Arial" w:hAnsi="Arial" w:cs="Arial"/>
          <w:color w:val="auto"/>
          <w:sz w:val="22"/>
          <w:szCs w:val="22"/>
        </w:rPr>
        <w:t xml:space="preserve">All </w:t>
      </w:r>
      <w:r w:rsidRPr="004975B7">
        <w:rPr>
          <w:rFonts w:ascii="Arial" w:hAnsi="Arial" w:cs="Arial"/>
          <w:sz w:val="22"/>
          <w:szCs w:val="22"/>
        </w:rPr>
        <w:t xml:space="preserve">deaths </w:t>
      </w:r>
      <w:r w:rsidRPr="004975B7">
        <w:rPr>
          <w:rFonts w:ascii="Arial" w:hAnsi="Arial" w:cs="Arial"/>
          <w:color w:val="auto"/>
          <w:sz w:val="22"/>
          <w:szCs w:val="22"/>
        </w:rPr>
        <w:t>reported</w:t>
      </w:r>
      <w:r w:rsidRPr="004975B7">
        <w:rPr>
          <w:rFonts w:ascii="Arial" w:hAnsi="Arial" w:cs="Arial"/>
          <w:sz w:val="22"/>
          <w:szCs w:val="22"/>
        </w:rPr>
        <w:t xml:space="preserve"> on Datix</w:t>
      </w:r>
      <w:r w:rsidRPr="004975B7">
        <w:rPr>
          <w:rFonts w:ascii="Arial" w:hAnsi="Arial" w:cs="Arial"/>
          <w:color w:val="auto"/>
          <w:sz w:val="22"/>
          <w:szCs w:val="22"/>
        </w:rPr>
        <w:t xml:space="preserve"> are reviewed by the patient safety support team to ensure they meet the scope criteria. </w:t>
      </w:r>
      <w:r w:rsidRPr="004975B7">
        <w:rPr>
          <w:rFonts w:ascii="Arial" w:hAnsi="Arial" w:cs="Arial"/>
          <w:sz w:val="22"/>
          <w:szCs w:val="22"/>
        </w:rPr>
        <w:t xml:space="preserve">For 2020/21, 335 deaths were in scope and subject to one of the 3 levels of </w:t>
      </w:r>
      <w:r w:rsidRPr="004975B7">
        <w:rPr>
          <w:rFonts w:ascii="Arial" w:hAnsi="Arial" w:cs="Arial"/>
          <w:color w:val="auto"/>
          <w:sz w:val="22"/>
          <w:szCs w:val="22"/>
        </w:rPr>
        <w:t xml:space="preserve">scrutiny the Trust has adopted in line with the National Quality Board guidance </w:t>
      </w:r>
      <w:r w:rsidRPr="00DF6332">
        <w:rPr>
          <w:rFonts w:ascii="Arial" w:hAnsi="Arial" w:cs="Arial"/>
          <w:color w:val="auto"/>
          <w:sz w:val="22"/>
          <w:szCs w:val="22"/>
        </w:rPr>
        <w:t xml:space="preserve">(figure </w:t>
      </w:r>
      <w:r w:rsidR="004E4993">
        <w:rPr>
          <w:rFonts w:ascii="Arial" w:hAnsi="Arial" w:cs="Arial"/>
          <w:color w:val="auto"/>
          <w:sz w:val="22"/>
          <w:szCs w:val="22"/>
        </w:rPr>
        <w:t>2</w:t>
      </w:r>
      <w:r w:rsidRPr="00DF6332">
        <w:rPr>
          <w:rFonts w:ascii="Arial" w:hAnsi="Arial" w:cs="Arial"/>
          <w:color w:val="auto"/>
          <w:sz w:val="22"/>
          <w:szCs w:val="22"/>
        </w:rPr>
        <w:t xml:space="preserve">): </w:t>
      </w:r>
    </w:p>
    <w:p w14:paraId="780C1347" w14:textId="77777777" w:rsidR="00EB61EA" w:rsidRPr="00575080" w:rsidRDefault="00EB61EA" w:rsidP="00EB61EA">
      <w:pPr>
        <w:pStyle w:val="Default"/>
        <w:rPr>
          <w:color w:val="auto"/>
          <w:sz w:val="22"/>
          <w:szCs w:val="22"/>
          <w:highlight w:val="yellow"/>
        </w:rPr>
      </w:pPr>
    </w:p>
    <w:p w14:paraId="024C7A97" w14:textId="154DC5CF" w:rsidR="00EB61EA" w:rsidRPr="00D70737" w:rsidRDefault="00EB61EA" w:rsidP="00EB61EA">
      <w:pPr>
        <w:pStyle w:val="Caption"/>
      </w:pPr>
      <w:r w:rsidRPr="00D70737">
        <w:t xml:space="preserve">Figure </w:t>
      </w:r>
      <w:r>
        <w:fldChar w:fldCharType="begin"/>
      </w:r>
      <w:r>
        <w:instrText xml:space="preserve"> SEQ Figure \* ARABIC </w:instrText>
      </w:r>
      <w:r>
        <w:fldChar w:fldCharType="separate"/>
      </w:r>
      <w:r w:rsidR="004E4993">
        <w:rPr>
          <w:noProof/>
        </w:rPr>
        <w:t>2</w:t>
      </w:r>
      <w:r>
        <w:rPr>
          <w:noProof/>
        </w:rPr>
        <w:fldChar w:fldCharType="end"/>
      </w:r>
      <w:r w:rsidRPr="00D70737">
        <w:t xml:space="preserve"> National Quality Board Levels of mortality scrutiny</w:t>
      </w:r>
    </w:p>
    <w:tbl>
      <w:tblPr>
        <w:tblStyle w:val="TableGrid"/>
        <w:tblW w:w="0" w:type="auto"/>
        <w:tblLook w:val="04A0" w:firstRow="1" w:lastRow="0" w:firstColumn="1" w:lastColumn="0" w:noHBand="0" w:noVBand="1"/>
      </w:tblPr>
      <w:tblGrid>
        <w:gridCol w:w="936"/>
        <w:gridCol w:w="2205"/>
        <w:gridCol w:w="5875"/>
      </w:tblGrid>
      <w:tr w:rsidR="00EB61EA" w:rsidRPr="004975B7" w14:paraId="7F905C08" w14:textId="77777777" w:rsidTr="00705EED">
        <w:tc>
          <w:tcPr>
            <w:tcW w:w="9545" w:type="dxa"/>
            <w:gridSpan w:val="3"/>
          </w:tcPr>
          <w:p w14:paraId="4B07A6A1" w14:textId="77777777" w:rsidR="00EB61EA" w:rsidRPr="004975B7" w:rsidRDefault="00EB61EA" w:rsidP="00705EED">
            <w:pPr>
              <w:pStyle w:val="Default"/>
              <w:jc w:val="both"/>
              <w:rPr>
                <w:rFonts w:ascii="Arial" w:hAnsi="Arial" w:cs="Arial"/>
                <w:sz w:val="20"/>
                <w:szCs w:val="20"/>
              </w:rPr>
            </w:pPr>
            <w:r w:rsidRPr="004975B7">
              <w:rPr>
                <w:rFonts w:ascii="Arial" w:hAnsi="Arial" w:cs="Arial"/>
                <w:b/>
                <w:color w:val="auto"/>
                <w:sz w:val="20"/>
                <w:szCs w:val="20"/>
              </w:rPr>
              <w:t xml:space="preserve">In scope deaths should be reviewed using one of the 3 levels of scrutiny: </w:t>
            </w:r>
          </w:p>
        </w:tc>
      </w:tr>
      <w:tr w:rsidR="00EB61EA" w:rsidRPr="004975B7" w14:paraId="3C1B5D30" w14:textId="77777777" w:rsidTr="00705EED">
        <w:tc>
          <w:tcPr>
            <w:tcW w:w="959" w:type="dxa"/>
          </w:tcPr>
          <w:p w14:paraId="6027A52D" w14:textId="77777777" w:rsidR="00EB61EA" w:rsidRPr="004975B7" w:rsidRDefault="00EB61EA" w:rsidP="00705EED">
            <w:pPr>
              <w:jc w:val="both"/>
              <w:rPr>
                <w:rFonts w:cs="Arial"/>
                <w:sz w:val="20"/>
                <w:szCs w:val="20"/>
              </w:rPr>
            </w:pPr>
            <w:r w:rsidRPr="004975B7">
              <w:rPr>
                <w:rFonts w:cs="Arial"/>
                <w:sz w:val="20"/>
                <w:szCs w:val="20"/>
              </w:rPr>
              <w:t>Level 1</w:t>
            </w:r>
          </w:p>
        </w:tc>
        <w:tc>
          <w:tcPr>
            <w:tcW w:w="2287" w:type="dxa"/>
          </w:tcPr>
          <w:p w14:paraId="6BF89C5E" w14:textId="77777777" w:rsidR="00EB61EA" w:rsidRPr="004975B7" w:rsidRDefault="00EB61EA" w:rsidP="00705EED">
            <w:pPr>
              <w:jc w:val="both"/>
              <w:rPr>
                <w:rFonts w:cs="Arial"/>
                <w:sz w:val="20"/>
                <w:szCs w:val="20"/>
              </w:rPr>
            </w:pPr>
            <w:r w:rsidRPr="004975B7">
              <w:rPr>
                <w:rFonts w:cs="Arial"/>
                <w:sz w:val="20"/>
                <w:szCs w:val="20"/>
              </w:rPr>
              <w:t>Death Certification</w:t>
            </w:r>
          </w:p>
          <w:p w14:paraId="3B93A701" w14:textId="77777777" w:rsidR="00EB61EA" w:rsidRPr="004975B7" w:rsidRDefault="00EB61EA" w:rsidP="00705EED">
            <w:pPr>
              <w:jc w:val="both"/>
              <w:rPr>
                <w:rFonts w:cs="Arial"/>
                <w:sz w:val="20"/>
                <w:szCs w:val="20"/>
              </w:rPr>
            </w:pPr>
          </w:p>
        </w:tc>
        <w:tc>
          <w:tcPr>
            <w:tcW w:w="6299" w:type="dxa"/>
          </w:tcPr>
          <w:p w14:paraId="2A7A97B9" w14:textId="77777777" w:rsidR="00EB61EA" w:rsidRPr="004975B7" w:rsidRDefault="00EB61EA" w:rsidP="00705EED">
            <w:pPr>
              <w:pStyle w:val="Default"/>
              <w:jc w:val="both"/>
              <w:rPr>
                <w:rFonts w:ascii="Arial" w:hAnsi="Arial" w:cs="Arial"/>
                <w:sz w:val="20"/>
                <w:szCs w:val="20"/>
              </w:rPr>
            </w:pPr>
            <w:r w:rsidRPr="004975B7">
              <w:rPr>
                <w:rFonts w:ascii="Arial" w:hAnsi="Arial" w:cs="Arial"/>
                <w:sz w:val="20"/>
                <w:szCs w:val="20"/>
              </w:rPr>
              <w:t xml:space="preserve">Details of the cause of death as certified by the attending doctor. </w:t>
            </w:r>
          </w:p>
        </w:tc>
      </w:tr>
      <w:tr w:rsidR="00EB61EA" w:rsidRPr="004975B7" w14:paraId="0220B2F3" w14:textId="77777777" w:rsidTr="00705EED">
        <w:tc>
          <w:tcPr>
            <w:tcW w:w="959" w:type="dxa"/>
          </w:tcPr>
          <w:p w14:paraId="00D2D122" w14:textId="77777777" w:rsidR="00EB61EA" w:rsidRPr="004975B7" w:rsidRDefault="00EB61EA" w:rsidP="00705EED">
            <w:pPr>
              <w:jc w:val="both"/>
              <w:rPr>
                <w:rFonts w:cs="Arial"/>
                <w:sz w:val="20"/>
                <w:szCs w:val="20"/>
              </w:rPr>
            </w:pPr>
            <w:r w:rsidRPr="004975B7">
              <w:rPr>
                <w:rFonts w:cs="Arial"/>
                <w:sz w:val="20"/>
                <w:szCs w:val="20"/>
              </w:rPr>
              <w:t>Level 2</w:t>
            </w:r>
          </w:p>
        </w:tc>
        <w:tc>
          <w:tcPr>
            <w:tcW w:w="2287" w:type="dxa"/>
          </w:tcPr>
          <w:p w14:paraId="32ADBEE6" w14:textId="77777777" w:rsidR="00EB61EA" w:rsidRPr="004975B7" w:rsidRDefault="00EB61EA" w:rsidP="00705EED">
            <w:pPr>
              <w:jc w:val="both"/>
              <w:rPr>
                <w:rFonts w:cs="Arial"/>
                <w:sz w:val="20"/>
                <w:szCs w:val="20"/>
              </w:rPr>
            </w:pPr>
            <w:r w:rsidRPr="004975B7">
              <w:rPr>
                <w:rFonts w:cs="Arial"/>
                <w:sz w:val="20"/>
                <w:szCs w:val="20"/>
              </w:rPr>
              <w:t>Case record review</w:t>
            </w:r>
          </w:p>
        </w:tc>
        <w:tc>
          <w:tcPr>
            <w:tcW w:w="6299" w:type="dxa"/>
          </w:tcPr>
          <w:p w14:paraId="4E814436" w14:textId="77777777" w:rsidR="00EB61EA" w:rsidRPr="004975B7" w:rsidRDefault="00EB61EA" w:rsidP="00705EED">
            <w:pPr>
              <w:jc w:val="both"/>
              <w:rPr>
                <w:rFonts w:cs="Arial"/>
                <w:sz w:val="20"/>
                <w:szCs w:val="20"/>
              </w:rPr>
            </w:pPr>
            <w:r w:rsidRPr="004975B7">
              <w:rPr>
                <w:rFonts w:cs="Arial"/>
                <w:sz w:val="20"/>
                <w:szCs w:val="20"/>
              </w:rPr>
              <w:t>Includes:</w:t>
            </w:r>
          </w:p>
          <w:p w14:paraId="5022BBF9" w14:textId="77777777" w:rsidR="00EB61EA" w:rsidRPr="004975B7" w:rsidRDefault="00EB61EA" w:rsidP="00705EED">
            <w:pPr>
              <w:jc w:val="both"/>
              <w:rPr>
                <w:rFonts w:cs="Arial"/>
                <w:sz w:val="20"/>
                <w:szCs w:val="20"/>
              </w:rPr>
            </w:pPr>
            <w:r w:rsidRPr="004975B7">
              <w:rPr>
                <w:rFonts w:cs="Arial"/>
                <w:sz w:val="20"/>
                <w:szCs w:val="20"/>
              </w:rPr>
              <w:t>(1) Managers 48-hour review (first stage case note review)</w:t>
            </w:r>
          </w:p>
          <w:p w14:paraId="5F921446" w14:textId="77777777" w:rsidR="00EB61EA" w:rsidRPr="004975B7" w:rsidRDefault="00EB61EA" w:rsidP="00705EED">
            <w:pPr>
              <w:jc w:val="both"/>
              <w:rPr>
                <w:rFonts w:cs="Arial"/>
                <w:sz w:val="20"/>
                <w:szCs w:val="20"/>
              </w:rPr>
            </w:pPr>
            <w:r w:rsidRPr="004975B7">
              <w:rPr>
                <w:rFonts w:cs="Arial"/>
                <w:sz w:val="20"/>
                <w:szCs w:val="20"/>
              </w:rPr>
              <w:t xml:space="preserve">(2) Structured Judgement Review </w:t>
            </w:r>
          </w:p>
        </w:tc>
      </w:tr>
      <w:tr w:rsidR="00EB61EA" w:rsidRPr="004975B7" w14:paraId="6042EF0C" w14:textId="77777777" w:rsidTr="00705EED">
        <w:tc>
          <w:tcPr>
            <w:tcW w:w="959" w:type="dxa"/>
          </w:tcPr>
          <w:p w14:paraId="3B7DCEDF" w14:textId="77777777" w:rsidR="00EB61EA" w:rsidRPr="004975B7" w:rsidRDefault="00EB61EA" w:rsidP="00705EED">
            <w:pPr>
              <w:jc w:val="both"/>
              <w:rPr>
                <w:rFonts w:cs="Arial"/>
                <w:sz w:val="20"/>
                <w:szCs w:val="20"/>
              </w:rPr>
            </w:pPr>
            <w:r w:rsidRPr="004975B7">
              <w:rPr>
                <w:rFonts w:cs="Arial"/>
                <w:sz w:val="20"/>
                <w:szCs w:val="20"/>
              </w:rPr>
              <w:t>Level 3</w:t>
            </w:r>
          </w:p>
        </w:tc>
        <w:tc>
          <w:tcPr>
            <w:tcW w:w="2287" w:type="dxa"/>
          </w:tcPr>
          <w:p w14:paraId="64761C80" w14:textId="77777777" w:rsidR="00EB61EA" w:rsidRPr="004975B7" w:rsidRDefault="00EB61EA" w:rsidP="00705EED">
            <w:pPr>
              <w:jc w:val="both"/>
              <w:rPr>
                <w:rFonts w:cs="Arial"/>
                <w:sz w:val="20"/>
                <w:szCs w:val="20"/>
              </w:rPr>
            </w:pPr>
            <w:r w:rsidRPr="004975B7">
              <w:rPr>
                <w:rFonts w:cs="Arial"/>
                <w:sz w:val="20"/>
                <w:szCs w:val="20"/>
              </w:rPr>
              <w:t>Investigation</w:t>
            </w:r>
          </w:p>
        </w:tc>
        <w:tc>
          <w:tcPr>
            <w:tcW w:w="6299" w:type="dxa"/>
          </w:tcPr>
          <w:p w14:paraId="22304307" w14:textId="77777777" w:rsidR="00EB61EA" w:rsidRPr="004975B7" w:rsidRDefault="00EB61EA" w:rsidP="00705EED">
            <w:pPr>
              <w:jc w:val="both"/>
              <w:rPr>
                <w:rFonts w:cs="Arial"/>
                <w:sz w:val="20"/>
                <w:szCs w:val="20"/>
              </w:rPr>
            </w:pPr>
            <w:r w:rsidRPr="004975B7">
              <w:rPr>
                <w:rFonts w:cs="Arial"/>
                <w:sz w:val="20"/>
                <w:szCs w:val="20"/>
              </w:rPr>
              <w:t>Includes:</w:t>
            </w:r>
          </w:p>
          <w:p w14:paraId="308825EE" w14:textId="77777777" w:rsidR="00EB61EA" w:rsidRPr="004975B7" w:rsidRDefault="00EB61EA" w:rsidP="00705EED">
            <w:pPr>
              <w:jc w:val="both"/>
              <w:rPr>
                <w:rFonts w:cs="Arial"/>
                <w:sz w:val="20"/>
                <w:szCs w:val="20"/>
              </w:rPr>
            </w:pPr>
            <w:r w:rsidRPr="004975B7">
              <w:rPr>
                <w:rFonts w:cs="Arial"/>
                <w:sz w:val="20"/>
                <w:szCs w:val="20"/>
              </w:rPr>
              <w:t>Service Level Investigation</w:t>
            </w:r>
          </w:p>
          <w:p w14:paraId="7223F2C0" w14:textId="77777777" w:rsidR="00EB61EA" w:rsidRPr="004975B7" w:rsidRDefault="00EB61EA" w:rsidP="00705EED">
            <w:pPr>
              <w:jc w:val="both"/>
              <w:rPr>
                <w:rFonts w:cs="Arial"/>
                <w:sz w:val="20"/>
                <w:szCs w:val="20"/>
              </w:rPr>
            </w:pPr>
            <w:r w:rsidRPr="004975B7">
              <w:rPr>
                <w:rFonts w:cs="Arial"/>
                <w:sz w:val="20"/>
                <w:szCs w:val="20"/>
              </w:rPr>
              <w:t>Serious Incident Investigation (reported on STEIS)</w:t>
            </w:r>
          </w:p>
          <w:p w14:paraId="6824A10A" w14:textId="77777777" w:rsidR="00EB61EA" w:rsidRPr="004975B7" w:rsidRDefault="00EB61EA" w:rsidP="00705EED">
            <w:pPr>
              <w:jc w:val="both"/>
              <w:rPr>
                <w:rFonts w:cs="Arial"/>
                <w:sz w:val="20"/>
                <w:szCs w:val="20"/>
              </w:rPr>
            </w:pPr>
            <w:r w:rsidRPr="004975B7">
              <w:rPr>
                <w:rFonts w:cs="Arial"/>
                <w:sz w:val="20"/>
                <w:szCs w:val="20"/>
              </w:rPr>
              <w:t>Other reviews e.g. Learning Disability Review Programme (LeDeR), safeguarding.</w:t>
            </w:r>
          </w:p>
        </w:tc>
      </w:tr>
    </w:tbl>
    <w:p w14:paraId="02D98737" w14:textId="77777777" w:rsidR="00EB61EA" w:rsidRPr="00575080" w:rsidRDefault="00EB61EA" w:rsidP="00EB61EA">
      <w:pPr>
        <w:pStyle w:val="Default"/>
        <w:rPr>
          <w:color w:val="auto"/>
          <w:sz w:val="22"/>
          <w:szCs w:val="22"/>
          <w:highlight w:val="yellow"/>
        </w:rPr>
      </w:pPr>
    </w:p>
    <w:p w14:paraId="6E24F303" w14:textId="77777777" w:rsidR="00EB61EA" w:rsidRPr="004975B7" w:rsidRDefault="00EB61EA" w:rsidP="00EB61EA">
      <w:pPr>
        <w:autoSpaceDE w:val="0"/>
        <w:autoSpaceDN w:val="0"/>
        <w:adjustRightInd w:val="0"/>
        <w:jc w:val="both"/>
        <w:rPr>
          <w:rFonts w:cs="Arial"/>
          <w:sz w:val="22"/>
          <w:szCs w:val="22"/>
        </w:rPr>
      </w:pPr>
      <w:r w:rsidRPr="004975B7">
        <w:rPr>
          <w:rFonts w:cs="Arial"/>
          <w:sz w:val="22"/>
          <w:szCs w:val="22"/>
        </w:rPr>
        <w:t xml:space="preserve">Each quarter, there are a number of reported deaths that do not meet the Learning from Healthcare Deaths reporting criteria which receive no further review. These are not in scope and are not included in data report, although the record remains on Datix. </w:t>
      </w:r>
    </w:p>
    <w:p w14:paraId="1A8BB67A" w14:textId="77777777" w:rsidR="00EB61EA" w:rsidRPr="00575080" w:rsidRDefault="00EB61EA" w:rsidP="00EB61EA">
      <w:pPr>
        <w:autoSpaceDE w:val="0"/>
        <w:autoSpaceDN w:val="0"/>
        <w:adjustRightInd w:val="0"/>
        <w:jc w:val="both"/>
        <w:rPr>
          <w:rFonts w:cs="Arial"/>
          <w:sz w:val="22"/>
          <w:szCs w:val="22"/>
          <w:highlight w:val="yellow"/>
        </w:rPr>
      </w:pPr>
    </w:p>
    <w:p w14:paraId="744B0147" w14:textId="1BC86A20" w:rsidR="00EB61EA" w:rsidRPr="00DF6332" w:rsidRDefault="00EB61EA" w:rsidP="004E4993">
      <w:pPr>
        <w:autoSpaceDE w:val="0"/>
        <w:autoSpaceDN w:val="0"/>
        <w:adjustRightInd w:val="0"/>
        <w:jc w:val="both"/>
        <w:rPr>
          <w:rFonts w:cs="Arial"/>
          <w:noProof/>
          <w:sz w:val="22"/>
          <w:szCs w:val="22"/>
        </w:rPr>
      </w:pPr>
      <w:r w:rsidRPr="004975B7">
        <w:rPr>
          <w:rFonts w:cs="Arial"/>
          <w:sz w:val="22"/>
          <w:szCs w:val="22"/>
        </w:rPr>
        <w:lastRenderedPageBreak/>
        <w:t xml:space="preserve">For the purpose of this </w:t>
      </w:r>
      <w:r w:rsidR="004E4993">
        <w:rPr>
          <w:rFonts w:cs="Arial"/>
          <w:sz w:val="22"/>
          <w:szCs w:val="22"/>
        </w:rPr>
        <w:t>report</w:t>
      </w:r>
      <w:r w:rsidRPr="004975B7">
        <w:rPr>
          <w:rFonts w:cs="Arial"/>
          <w:sz w:val="22"/>
          <w:szCs w:val="22"/>
        </w:rPr>
        <w:t xml:space="preserve">, the date of reporting on Datix is used rather than the date of death. This is to ensure all deaths are systematically reviewed.  The figures may differ from other sections of the report. </w:t>
      </w:r>
      <w:r w:rsidR="004E4993">
        <w:rPr>
          <w:rFonts w:cs="Arial"/>
          <w:sz w:val="22"/>
          <w:szCs w:val="22"/>
        </w:rPr>
        <w:t xml:space="preserve"> </w:t>
      </w:r>
      <w:r w:rsidRPr="00DF6332">
        <w:rPr>
          <w:rFonts w:cs="Arial"/>
          <w:noProof/>
          <w:sz w:val="22"/>
          <w:szCs w:val="22"/>
        </w:rPr>
        <w:t xml:space="preserve">Figure </w:t>
      </w:r>
      <w:r w:rsidR="004E4993">
        <w:rPr>
          <w:rFonts w:cs="Arial"/>
          <w:noProof/>
          <w:sz w:val="22"/>
          <w:szCs w:val="22"/>
        </w:rPr>
        <w:t>3</w:t>
      </w:r>
      <w:r w:rsidRPr="00DF6332">
        <w:rPr>
          <w:rFonts w:cs="Arial"/>
          <w:noProof/>
          <w:sz w:val="22"/>
          <w:szCs w:val="22"/>
        </w:rPr>
        <w:t xml:space="preserve"> shows the 335 in scope deaths reported by B</w:t>
      </w:r>
      <w:r w:rsidR="004E4993">
        <w:rPr>
          <w:rFonts w:cs="Arial"/>
          <w:noProof/>
          <w:sz w:val="22"/>
          <w:szCs w:val="22"/>
        </w:rPr>
        <w:t>usiness Delivery Unit (B</w:t>
      </w:r>
      <w:r w:rsidRPr="00DF6332">
        <w:rPr>
          <w:rFonts w:cs="Arial"/>
          <w:noProof/>
          <w:sz w:val="22"/>
          <w:szCs w:val="22"/>
        </w:rPr>
        <w:t>DU</w:t>
      </w:r>
      <w:r w:rsidR="004E4993">
        <w:rPr>
          <w:rFonts w:cs="Arial"/>
          <w:noProof/>
          <w:sz w:val="22"/>
          <w:szCs w:val="22"/>
        </w:rPr>
        <w:t>).</w:t>
      </w:r>
      <w:r w:rsidRPr="00DF6332">
        <w:rPr>
          <w:rFonts w:cs="Arial"/>
          <w:noProof/>
          <w:sz w:val="22"/>
          <w:szCs w:val="22"/>
        </w:rPr>
        <w:t xml:space="preserve">   </w:t>
      </w:r>
    </w:p>
    <w:p w14:paraId="7C7D05CA" w14:textId="77777777" w:rsidR="00EB61EA" w:rsidRPr="00575080" w:rsidRDefault="00EB61EA" w:rsidP="00EB61EA">
      <w:pPr>
        <w:ind w:right="-1732"/>
        <w:rPr>
          <w:rFonts w:cs="Arial"/>
          <w:b/>
          <w:noProof/>
          <w:highlight w:val="yellow"/>
        </w:rPr>
      </w:pPr>
    </w:p>
    <w:p w14:paraId="6354001B" w14:textId="632DF8E0" w:rsidR="00EB61EA" w:rsidRPr="004975B7" w:rsidRDefault="00EB61EA" w:rsidP="00EB61EA">
      <w:pPr>
        <w:pStyle w:val="Caption"/>
        <w:keepNext/>
      </w:pPr>
      <w:r w:rsidRPr="004975B7">
        <w:t xml:space="preserve">Figure </w:t>
      </w:r>
      <w:r>
        <w:fldChar w:fldCharType="begin"/>
      </w:r>
      <w:r>
        <w:instrText xml:space="preserve"> SEQ Figure \* ARABIC </w:instrText>
      </w:r>
      <w:r>
        <w:fldChar w:fldCharType="separate"/>
      </w:r>
      <w:r w:rsidR="004E4993">
        <w:rPr>
          <w:noProof/>
        </w:rPr>
        <w:t>3</w:t>
      </w:r>
      <w:r>
        <w:rPr>
          <w:noProof/>
        </w:rPr>
        <w:fldChar w:fldCharType="end"/>
      </w:r>
      <w:r w:rsidRPr="004975B7">
        <w:t xml:space="preserve"> In scope deaths reported by financial quarter and </w:t>
      </w:r>
      <w:r>
        <w:t>BDU</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
        <w:gridCol w:w="567"/>
        <w:gridCol w:w="567"/>
        <w:gridCol w:w="567"/>
        <w:gridCol w:w="567"/>
        <w:gridCol w:w="567"/>
        <w:gridCol w:w="567"/>
        <w:gridCol w:w="567"/>
        <w:gridCol w:w="567"/>
        <w:gridCol w:w="567"/>
        <w:gridCol w:w="584"/>
      </w:tblGrid>
      <w:tr w:rsidR="00EB61EA" w:rsidRPr="001E6841" w14:paraId="4934792B" w14:textId="77777777" w:rsidTr="00705EED">
        <w:trPr>
          <w:trHeight w:val="2683"/>
          <w:jc w:val="center"/>
        </w:trPr>
        <w:tc>
          <w:tcPr>
            <w:tcW w:w="3539" w:type="dxa"/>
            <w:shd w:val="clear" w:color="auto" w:fill="B4C6E7" w:themeFill="accent1" w:themeFillTint="66"/>
            <w:noWrap/>
            <w:textDirection w:val="btLr"/>
            <w:vAlign w:val="bottom"/>
            <w:hideMark/>
          </w:tcPr>
          <w:p w14:paraId="2894F10A" w14:textId="77777777" w:rsidR="00EB61EA" w:rsidRPr="001E6841" w:rsidRDefault="00EB61EA" w:rsidP="00705EED">
            <w:pPr>
              <w:rPr>
                <w:rFonts w:eastAsia="Times New Roman" w:cs="Arial"/>
                <w:b/>
                <w:bCs/>
                <w:color w:val="000000"/>
                <w:sz w:val="20"/>
                <w:szCs w:val="20"/>
                <w:lang w:eastAsia="en-GB"/>
              </w:rPr>
            </w:pPr>
          </w:p>
        </w:tc>
        <w:tc>
          <w:tcPr>
            <w:tcW w:w="567" w:type="dxa"/>
            <w:shd w:val="clear" w:color="auto" w:fill="B4C6E7" w:themeFill="accent1" w:themeFillTint="66"/>
            <w:noWrap/>
            <w:textDirection w:val="btLr"/>
            <w:vAlign w:val="center"/>
            <w:hideMark/>
          </w:tcPr>
          <w:p w14:paraId="74EFCF51"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Barnsley General Community Services</w:t>
            </w:r>
          </w:p>
        </w:tc>
        <w:tc>
          <w:tcPr>
            <w:tcW w:w="567" w:type="dxa"/>
            <w:shd w:val="clear" w:color="auto" w:fill="B4C6E7" w:themeFill="accent1" w:themeFillTint="66"/>
            <w:noWrap/>
            <w:textDirection w:val="btLr"/>
            <w:vAlign w:val="center"/>
            <w:hideMark/>
          </w:tcPr>
          <w:p w14:paraId="2EF14998"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Barnsley Community Mental Health Services</w:t>
            </w:r>
          </w:p>
        </w:tc>
        <w:tc>
          <w:tcPr>
            <w:tcW w:w="567" w:type="dxa"/>
            <w:shd w:val="clear" w:color="auto" w:fill="B4C6E7" w:themeFill="accent1" w:themeFillTint="66"/>
            <w:noWrap/>
            <w:textDirection w:val="btLr"/>
            <w:vAlign w:val="center"/>
            <w:hideMark/>
          </w:tcPr>
          <w:p w14:paraId="79A106BC"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Calderdale Community Mental Health Services</w:t>
            </w:r>
          </w:p>
        </w:tc>
        <w:tc>
          <w:tcPr>
            <w:tcW w:w="567" w:type="dxa"/>
            <w:shd w:val="clear" w:color="auto" w:fill="B4C6E7" w:themeFill="accent1" w:themeFillTint="66"/>
            <w:noWrap/>
            <w:textDirection w:val="btLr"/>
            <w:vAlign w:val="center"/>
            <w:hideMark/>
          </w:tcPr>
          <w:p w14:paraId="318C552E"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Kirklees Community Mental Health Services</w:t>
            </w:r>
          </w:p>
        </w:tc>
        <w:tc>
          <w:tcPr>
            <w:tcW w:w="567" w:type="dxa"/>
            <w:shd w:val="clear" w:color="auto" w:fill="B4C6E7" w:themeFill="accent1" w:themeFillTint="66"/>
            <w:noWrap/>
            <w:textDirection w:val="btLr"/>
            <w:vAlign w:val="center"/>
            <w:hideMark/>
          </w:tcPr>
          <w:p w14:paraId="6FAC9B5A"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Wakefield Community Mental Health Services</w:t>
            </w:r>
          </w:p>
        </w:tc>
        <w:tc>
          <w:tcPr>
            <w:tcW w:w="567" w:type="dxa"/>
            <w:shd w:val="clear" w:color="auto" w:fill="B4C6E7" w:themeFill="accent1" w:themeFillTint="66"/>
            <w:noWrap/>
            <w:textDirection w:val="btLr"/>
            <w:vAlign w:val="center"/>
            <w:hideMark/>
          </w:tcPr>
          <w:p w14:paraId="4BD0BD23"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Mental Health Inpatient Services</w:t>
            </w:r>
          </w:p>
        </w:tc>
        <w:tc>
          <w:tcPr>
            <w:tcW w:w="567" w:type="dxa"/>
            <w:shd w:val="clear" w:color="auto" w:fill="B4C6E7" w:themeFill="accent1" w:themeFillTint="66"/>
            <w:noWrap/>
            <w:textDirection w:val="btLr"/>
            <w:vAlign w:val="center"/>
            <w:hideMark/>
          </w:tcPr>
          <w:p w14:paraId="21F4C1DB"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Forensic Service</w:t>
            </w:r>
          </w:p>
        </w:tc>
        <w:tc>
          <w:tcPr>
            <w:tcW w:w="567" w:type="dxa"/>
            <w:shd w:val="clear" w:color="auto" w:fill="B4C6E7" w:themeFill="accent1" w:themeFillTint="66"/>
            <w:noWrap/>
            <w:textDirection w:val="btLr"/>
            <w:vAlign w:val="center"/>
            <w:hideMark/>
          </w:tcPr>
          <w:p w14:paraId="45BDB5BE"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Learning Disability services</w:t>
            </w:r>
          </w:p>
        </w:tc>
        <w:tc>
          <w:tcPr>
            <w:tcW w:w="567" w:type="dxa"/>
            <w:shd w:val="clear" w:color="auto" w:fill="B4C6E7" w:themeFill="accent1" w:themeFillTint="66"/>
            <w:noWrap/>
            <w:textDirection w:val="btLr"/>
            <w:vAlign w:val="center"/>
            <w:hideMark/>
          </w:tcPr>
          <w:p w14:paraId="19F202EE"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CAMHS Specialist Services</w:t>
            </w:r>
          </w:p>
        </w:tc>
        <w:tc>
          <w:tcPr>
            <w:tcW w:w="567" w:type="dxa"/>
            <w:shd w:val="clear" w:color="auto" w:fill="B4C6E7" w:themeFill="accent1" w:themeFillTint="66"/>
            <w:noWrap/>
            <w:textDirection w:val="btLr"/>
            <w:vAlign w:val="center"/>
            <w:hideMark/>
          </w:tcPr>
          <w:p w14:paraId="7467342F"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Trust wide (Corporate support services)</w:t>
            </w:r>
          </w:p>
        </w:tc>
        <w:tc>
          <w:tcPr>
            <w:tcW w:w="584" w:type="dxa"/>
            <w:shd w:val="clear" w:color="auto" w:fill="B4C6E7" w:themeFill="accent1" w:themeFillTint="66"/>
            <w:noWrap/>
            <w:textDirection w:val="btLr"/>
            <w:vAlign w:val="center"/>
            <w:hideMark/>
          </w:tcPr>
          <w:p w14:paraId="3649D31B"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Total</w:t>
            </w:r>
          </w:p>
        </w:tc>
      </w:tr>
      <w:tr w:rsidR="00EB61EA" w:rsidRPr="00C54ED3" w14:paraId="13EFACF5" w14:textId="77777777" w:rsidTr="00705EED">
        <w:trPr>
          <w:trHeight w:val="300"/>
          <w:jc w:val="center"/>
        </w:trPr>
        <w:tc>
          <w:tcPr>
            <w:tcW w:w="3539" w:type="dxa"/>
            <w:shd w:val="clear" w:color="auto" w:fill="auto"/>
            <w:noWrap/>
          </w:tcPr>
          <w:p w14:paraId="7D192F99" w14:textId="77777777" w:rsidR="00EB61EA" w:rsidRPr="001E6841" w:rsidRDefault="00EB61EA" w:rsidP="00705EED">
            <w:pPr>
              <w:rPr>
                <w:rFonts w:eastAsia="Times New Roman" w:cs="Arial"/>
                <w:color w:val="000000"/>
                <w:sz w:val="20"/>
                <w:szCs w:val="20"/>
                <w:lang w:eastAsia="en-GB"/>
              </w:rPr>
            </w:pPr>
            <w:r w:rsidRPr="00C54ED3">
              <w:rPr>
                <w:rFonts w:cs="Arial"/>
                <w:sz w:val="20"/>
                <w:szCs w:val="20"/>
              </w:rPr>
              <w:t>20/21 Q1</w:t>
            </w:r>
          </w:p>
        </w:tc>
        <w:tc>
          <w:tcPr>
            <w:tcW w:w="567" w:type="dxa"/>
            <w:shd w:val="clear" w:color="auto" w:fill="auto"/>
            <w:noWrap/>
          </w:tcPr>
          <w:p w14:paraId="4A43FDA3"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w:t>
            </w:r>
          </w:p>
        </w:tc>
        <w:tc>
          <w:tcPr>
            <w:tcW w:w="567" w:type="dxa"/>
            <w:shd w:val="clear" w:color="auto" w:fill="auto"/>
            <w:noWrap/>
          </w:tcPr>
          <w:p w14:paraId="2D663633"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8</w:t>
            </w:r>
          </w:p>
        </w:tc>
        <w:tc>
          <w:tcPr>
            <w:tcW w:w="567" w:type="dxa"/>
            <w:shd w:val="clear" w:color="auto" w:fill="auto"/>
            <w:noWrap/>
          </w:tcPr>
          <w:p w14:paraId="453A1027"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11</w:t>
            </w:r>
          </w:p>
        </w:tc>
        <w:tc>
          <w:tcPr>
            <w:tcW w:w="567" w:type="dxa"/>
            <w:shd w:val="clear" w:color="auto" w:fill="auto"/>
            <w:noWrap/>
          </w:tcPr>
          <w:p w14:paraId="5F8A88E6"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27</w:t>
            </w:r>
          </w:p>
        </w:tc>
        <w:tc>
          <w:tcPr>
            <w:tcW w:w="567" w:type="dxa"/>
            <w:shd w:val="clear" w:color="auto" w:fill="auto"/>
            <w:noWrap/>
          </w:tcPr>
          <w:p w14:paraId="60B2CC80"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27</w:t>
            </w:r>
          </w:p>
        </w:tc>
        <w:tc>
          <w:tcPr>
            <w:tcW w:w="567" w:type="dxa"/>
            <w:shd w:val="clear" w:color="auto" w:fill="auto"/>
            <w:noWrap/>
          </w:tcPr>
          <w:p w14:paraId="465C2863"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5</w:t>
            </w:r>
          </w:p>
        </w:tc>
        <w:tc>
          <w:tcPr>
            <w:tcW w:w="567" w:type="dxa"/>
            <w:shd w:val="clear" w:color="auto" w:fill="auto"/>
            <w:noWrap/>
          </w:tcPr>
          <w:p w14:paraId="5886284B"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67" w:type="dxa"/>
            <w:shd w:val="clear" w:color="auto" w:fill="auto"/>
            <w:noWrap/>
          </w:tcPr>
          <w:p w14:paraId="2DC4A648"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13</w:t>
            </w:r>
          </w:p>
        </w:tc>
        <w:tc>
          <w:tcPr>
            <w:tcW w:w="567" w:type="dxa"/>
            <w:shd w:val="clear" w:color="auto" w:fill="auto"/>
            <w:noWrap/>
          </w:tcPr>
          <w:p w14:paraId="6C2BD43F"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67" w:type="dxa"/>
            <w:shd w:val="clear" w:color="auto" w:fill="auto"/>
            <w:noWrap/>
          </w:tcPr>
          <w:p w14:paraId="687A68A6"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84" w:type="dxa"/>
            <w:shd w:val="clear" w:color="auto" w:fill="auto"/>
            <w:noWrap/>
          </w:tcPr>
          <w:p w14:paraId="3B0D9A92"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93</w:t>
            </w:r>
          </w:p>
        </w:tc>
      </w:tr>
      <w:tr w:rsidR="00EB61EA" w:rsidRPr="00C54ED3" w14:paraId="0DBE46F0" w14:textId="77777777" w:rsidTr="00705EED">
        <w:trPr>
          <w:trHeight w:val="300"/>
          <w:jc w:val="center"/>
        </w:trPr>
        <w:tc>
          <w:tcPr>
            <w:tcW w:w="3539" w:type="dxa"/>
            <w:shd w:val="clear" w:color="auto" w:fill="auto"/>
            <w:noWrap/>
          </w:tcPr>
          <w:p w14:paraId="6CCAE547" w14:textId="77777777" w:rsidR="00EB61EA" w:rsidRPr="001E6841" w:rsidRDefault="00EB61EA" w:rsidP="00705EED">
            <w:pPr>
              <w:rPr>
                <w:rFonts w:eastAsia="Times New Roman" w:cs="Arial"/>
                <w:color w:val="000000"/>
                <w:sz w:val="20"/>
                <w:szCs w:val="20"/>
                <w:lang w:eastAsia="en-GB"/>
              </w:rPr>
            </w:pPr>
            <w:r w:rsidRPr="00C54ED3">
              <w:rPr>
                <w:rFonts w:cs="Arial"/>
                <w:sz w:val="20"/>
                <w:szCs w:val="20"/>
              </w:rPr>
              <w:t>20/21 Q2</w:t>
            </w:r>
          </w:p>
        </w:tc>
        <w:tc>
          <w:tcPr>
            <w:tcW w:w="567" w:type="dxa"/>
            <w:shd w:val="clear" w:color="auto" w:fill="auto"/>
            <w:noWrap/>
          </w:tcPr>
          <w:p w14:paraId="3ECAD06D"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3</w:t>
            </w:r>
          </w:p>
        </w:tc>
        <w:tc>
          <w:tcPr>
            <w:tcW w:w="567" w:type="dxa"/>
            <w:shd w:val="clear" w:color="auto" w:fill="auto"/>
            <w:noWrap/>
          </w:tcPr>
          <w:p w14:paraId="05AAB45A"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5</w:t>
            </w:r>
          </w:p>
        </w:tc>
        <w:tc>
          <w:tcPr>
            <w:tcW w:w="567" w:type="dxa"/>
            <w:shd w:val="clear" w:color="auto" w:fill="auto"/>
            <w:noWrap/>
          </w:tcPr>
          <w:p w14:paraId="00D59081"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11</w:t>
            </w:r>
          </w:p>
        </w:tc>
        <w:tc>
          <w:tcPr>
            <w:tcW w:w="567" w:type="dxa"/>
            <w:shd w:val="clear" w:color="auto" w:fill="auto"/>
            <w:noWrap/>
          </w:tcPr>
          <w:p w14:paraId="1C1553FF"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17</w:t>
            </w:r>
          </w:p>
        </w:tc>
        <w:tc>
          <w:tcPr>
            <w:tcW w:w="567" w:type="dxa"/>
            <w:shd w:val="clear" w:color="auto" w:fill="auto"/>
            <w:noWrap/>
          </w:tcPr>
          <w:p w14:paraId="79441AC7"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19</w:t>
            </w:r>
          </w:p>
        </w:tc>
        <w:tc>
          <w:tcPr>
            <w:tcW w:w="567" w:type="dxa"/>
            <w:shd w:val="clear" w:color="auto" w:fill="auto"/>
            <w:noWrap/>
          </w:tcPr>
          <w:p w14:paraId="44C43207"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4</w:t>
            </w:r>
          </w:p>
        </w:tc>
        <w:tc>
          <w:tcPr>
            <w:tcW w:w="567" w:type="dxa"/>
            <w:shd w:val="clear" w:color="auto" w:fill="auto"/>
            <w:noWrap/>
          </w:tcPr>
          <w:p w14:paraId="35BFFDCD"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67" w:type="dxa"/>
            <w:shd w:val="clear" w:color="auto" w:fill="auto"/>
            <w:noWrap/>
          </w:tcPr>
          <w:p w14:paraId="21787159"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12</w:t>
            </w:r>
          </w:p>
        </w:tc>
        <w:tc>
          <w:tcPr>
            <w:tcW w:w="567" w:type="dxa"/>
            <w:shd w:val="clear" w:color="auto" w:fill="auto"/>
            <w:noWrap/>
          </w:tcPr>
          <w:p w14:paraId="24A12EF0"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67" w:type="dxa"/>
            <w:shd w:val="clear" w:color="auto" w:fill="auto"/>
            <w:noWrap/>
          </w:tcPr>
          <w:p w14:paraId="56926B3A"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0</w:t>
            </w:r>
          </w:p>
        </w:tc>
        <w:tc>
          <w:tcPr>
            <w:tcW w:w="584" w:type="dxa"/>
            <w:shd w:val="clear" w:color="auto" w:fill="auto"/>
            <w:noWrap/>
          </w:tcPr>
          <w:p w14:paraId="4A287932"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71</w:t>
            </w:r>
          </w:p>
        </w:tc>
      </w:tr>
      <w:tr w:rsidR="00EB61EA" w:rsidRPr="00C54ED3" w14:paraId="5379E0B6" w14:textId="77777777" w:rsidTr="00705EED">
        <w:trPr>
          <w:trHeight w:val="300"/>
          <w:jc w:val="center"/>
        </w:trPr>
        <w:tc>
          <w:tcPr>
            <w:tcW w:w="3539" w:type="dxa"/>
            <w:shd w:val="clear" w:color="auto" w:fill="auto"/>
            <w:noWrap/>
          </w:tcPr>
          <w:p w14:paraId="57B41B82" w14:textId="77777777" w:rsidR="00EB61EA" w:rsidRPr="001E6841" w:rsidRDefault="00EB61EA" w:rsidP="00705EED">
            <w:pPr>
              <w:rPr>
                <w:rFonts w:eastAsia="Times New Roman" w:cs="Arial"/>
                <w:color w:val="000000"/>
                <w:sz w:val="20"/>
                <w:szCs w:val="20"/>
                <w:lang w:eastAsia="en-GB"/>
              </w:rPr>
            </w:pPr>
            <w:r w:rsidRPr="00C54ED3">
              <w:rPr>
                <w:rFonts w:cs="Arial"/>
                <w:sz w:val="20"/>
                <w:szCs w:val="20"/>
              </w:rPr>
              <w:t>20/21 Q3</w:t>
            </w:r>
          </w:p>
        </w:tc>
        <w:tc>
          <w:tcPr>
            <w:tcW w:w="567" w:type="dxa"/>
            <w:shd w:val="clear" w:color="auto" w:fill="auto"/>
            <w:noWrap/>
          </w:tcPr>
          <w:p w14:paraId="33903E84"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4</w:t>
            </w:r>
          </w:p>
        </w:tc>
        <w:tc>
          <w:tcPr>
            <w:tcW w:w="567" w:type="dxa"/>
            <w:shd w:val="clear" w:color="auto" w:fill="auto"/>
            <w:noWrap/>
          </w:tcPr>
          <w:p w14:paraId="3FBB2432"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10</w:t>
            </w:r>
          </w:p>
        </w:tc>
        <w:tc>
          <w:tcPr>
            <w:tcW w:w="567" w:type="dxa"/>
            <w:shd w:val="clear" w:color="auto" w:fill="auto"/>
            <w:noWrap/>
          </w:tcPr>
          <w:p w14:paraId="09686EA1"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19</w:t>
            </w:r>
          </w:p>
        </w:tc>
        <w:tc>
          <w:tcPr>
            <w:tcW w:w="567" w:type="dxa"/>
            <w:shd w:val="clear" w:color="auto" w:fill="auto"/>
            <w:noWrap/>
          </w:tcPr>
          <w:p w14:paraId="0668CF83"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16</w:t>
            </w:r>
          </w:p>
        </w:tc>
        <w:tc>
          <w:tcPr>
            <w:tcW w:w="567" w:type="dxa"/>
            <w:shd w:val="clear" w:color="auto" w:fill="auto"/>
            <w:noWrap/>
          </w:tcPr>
          <w:p w14:paraId="7DED90D4"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22</w:t>
            </w:r>
          </w:p>
        </w:tc>
        <w:tc>
          <w:tcPr>
            <w:tcW w:w="567" w:type="dxa"/>
            <w:shd w:val="clear" w:color="auto" w:fill="auto"/>
            <w:noWrap/>
          </w:tcPr>
          <w:p w14:paraId="1DDA16B8"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w:t>
            </w:r>
          </w:p>
        </w:tc>
        <w:tc>
          <w:tcPr>
            <w:tcW w:w="567" w:type="dxa"/>
            <w:shd w:val="clear" w:color="auto" w:fill="auto"/>
            <w:noWrap/>
          </w:tcPr>
          <w:p w14:paraId="52A65481"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0</w:t>
            </w:r>
          </w:p>
        </w:tc>
        <w:tc>
          <w:tcPr>
            <w:tcW w:w="567" w:type="dxa"/>
            <w:shd w:val="clear" w:color="auto" w:fill="auto"/>
            <w:noWrap/>
          </w:tcPr>
          <w:p w14:paraId="5204B387"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10</w:t>
            </w:r>
          </w:p>
        </w:tc>
        <w:tc>
          <w:tcPr>
            <w:tcW w:w="567" w:type="dxa"/>
            <w:shd w:val="clear" w:color="auto" w:fill="auto"/>
            <w:noWrap/>
          </w:tcPr>
          <w:p w14:paraId="196813A4"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w:t>
            </w:r>
          </w:p>
        </w:tc>
        <w:tc>
          <w:tcPr>
            <w:tcW w:w="567" w:type="dxa"/>
            <w:shd w:val="clear" w:color="auto" w:fill="auto"/>
            <w:noWrap/>
          </w:tcPr>
          <w:p w14:paraId="48C64D00"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w:t>
            </w:r>
          </w:p>
        </w:tc>
        <w:tc>
          <w:tcPr>
            <w:tcW w:w="584" w:type="dxa"/>
            <w:shd w:val="clear" w:color="auto" w:fill="auto"/>
            <w:noWrap/>
          </w:tcPr>
          <w:p w14:paraId="7A84CB58"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85</w:t>
            </w:r>
          </w:p>
        </w:tc>
      </w:tr>
      <w:tr w:rsidR="00EB61EA" w:rsidRPr="00C54ED3" w14:paraId="52E75D8F" w14:textId="77777777" w:rsidTr="00705EED">
        <w:trPr>
          <w:trHeight w:val="300"/>
          <w:jc w:val="center"/>
        </w:trPr>
        <w:tc>
          <w:tcPr>
            <w:tcW w:w="3539" w:type="dxa"/>
            <w:shd w:val="clear" w:color="auto" w:fill="auto"/>
            <w:noWrap/>
          </w:tcPr>
          <w:p w14:paraId="05AE75C5" w14:textId="77777777" w:rsidR="00EB61EA" w:rsidRPr="001E6841" w:rsidRDefault="00EB61EA" w:rsidP="00705EED">
            <w:pPr>
              <w:rPr>
                <w:rFonts w:eastAsia="Times New Roman" w:cs="Arial"/>
                <w:color w:val="000000"/>
                <w:sz w:val="20"/>
                <w:szCs w:val="20"/>
                <w:lang w:eastAsia="en-GB"/>
              </w:rPr>
            </w:pPr>
            <w:r w:rsidRPr="00C54ED3">
              <w:rPr>
                <w:rFonts w:cs="Arial"/>
                <w:sz w:val="20"/>
                <w:szCs w:val="20"/>
              </w:rPr>
              <w:t>20/21 Q4</w:t>
            </w:r>
          </w:p>
        </w:tc>
        <w:tc>
          <w:tcPr>
            <w:tcW w:w="567" w:type="dxa"/>
            <w:shd w:val="clear" w:color="auto" w:fill="auto"/>
            <w:noWrap/>
          </w:tcPr>
          <w:p w14:paraId="10E8BD44"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w:t>
            </w:r>
          </w:p>
        </w:tc>
        <w:tc>
          <w:tcPr>
            <w:tcW w:w="567" w:type="dxa"/>
            <w:shd w:val="clear" w:color="auto" w:fill="auto"/>
            <w:noWrap/>
          </w:tcPr>
          <w:p w14:paraId="4BB1A41B"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11</w:t>
            </w:r>
          </w:p>
        </w:tc>
        <w:tc>
          <w:tcPr>
            <w:tcW w:w="567" w:type="dxa"/>
            <w:shd w:val="clear" w:color="auto" w:fill="auto"/>
            <w:noWrap/>
          </w:tcPr>
          <w:p w14:paraId="78F187CE"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9</w:t>
            </w:r>
          </w:p>
        </w:tc>
        <w:tc>
          <w:tcPr>
            <w:tcW w:w="567" w:type="dxa"/>
            <w:shd w:val="clear" w:color="auto" w:fill="auto"/>
            <w:noWrap/>
          </w:tcPr>
          <w:p w14:paraId="64F3EE88"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25</w:t>
            </w:r>
          </w:p>
        </w:tc>
        <w:tc>
          <w:tcPr>
            <w:tcW w:w="567" w:type="dxa"/>
            <w:shd w:val="clear" w:color="auto" w:fill="auto"/>
            <w:noWrap/>
          </w:tcPr>
          <w:p w14:paraId="7D12CB9E"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24</w:t>
            </w:r>
          </w:p>
        </w:tc>
        <w:tc>
          <w:tcPr>
            <w:tcW w:w="567" w:type="dxa"/>
            <w:shd w:val="clear" w:color="auto" w:fill="auto"/>
            <w:noWrap/>
          </w:tcPr>
          <w:p w14:paraId="551A6209"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4</w:t>
            </w:r>
          </w:p>
        </w:tc>
        <w:tc>
          <w:tcPr>
            <w:tcW w:w="567" w:type="dxa"/>
            <w:shd w:val="clear" w:color="auto" w:fill="auto"/>
            <w:noWrap/>
          </w:tcPr>
          <w:p w14:paraId="702FD400"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w:t>
            </w:r>
          </w:p>
        </w:tc>
        <w:tc>
          <w:tcPr>
            <w:tcW w:w="567" w:type="dxa"/>
            <w:shd w:val="clear" w:color="auto" w:fill="auto"/>
            <w:noWrap/>
          </w:tcPr>
          <w:p w14:paraId="75E4F0F1"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9</w:t>
            </w:r>
          </w:p>
        </w:tc>
        <w:tc>
          <w:tcPr>
            <w:tcW w:w="567" w:type="dxa"/>
            <w:shd w:val="clear" w:color="auto" w:fill="auto"/>
            <w:noWrap/>
          </w:tcPr>
          <w:p w14:paraId="6AFC51F2"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w:t>
            </w:r>
          </w:p>
        </w:tc>
        <w:tc>
          <w:tcPr>
            <w:tcW w:w="567" w:type="dxa"/>
            <w:shd w:val="clear" w:color="auto" w:fill="auto"/>
            <w:noWrap/>
          </w:tcPr>
          <w:p w14:paraId="6CE0AF9E"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0</w:t>
            </w:r>
          </w:p>
        </w:tc>
        <w:tc>
          <w:tcPr>
            <w:tcW w:w="584" w:type="dxa"/>
            <w:shd w:val="clear" w:color="auto" w:fill="auto"/>
            <w:noWrap/>
          </w:tcPr>
          <w:p w14:paraId="02BE203C"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86</w:t>
            </w:r>
          </w:p>
        </w:tc>
      </w:tr>
      <w:tr w:rsidR="00EB61EA" w:rsidRPr="00C54ED3" w14:paraId="632B65BF" w14:textId="77777777" w:rsidTr="00705EED">
        <w:trPr>
          <w:trHeight w:val="300"/>
          <w:jc w:val="center"/>
        </w:trPr>
        <w:tc>
          <w:tcPr>
            <w:tcW w:w="3539" w:type="dxa"/>
            <w:shd w:val="clear" w:color="auto" w:fill="auto"/>
            <w:noWrap/>
          </w:tcPr>
          <w:p w14:paraId="10FD26E6" w14:textId="77777777" w:rsidR="00EB61EA" w:rsidRPr="001E6841" w:rsidRDefault="00EB61EA" w:rsidP="00705EED">
            <w:pPr>
              <w:rPr>
                <w:rFonts w:eastAsia="Times New Roman" w:cs="Arial"/>
                <w:color w:val="000000"/>
                <w:sz w:val="20"/>
                <w:szCs w:val="20"/>
                <w:lang w:eastAsia="en-GB"/>
              </w:rPr>
            </w:pPr>
            <w:r w:rsidRPr="00C54ED3">
              <w:rPr>
                <w:rFonts w:eastAsia="Times New Roman" w:cs="Arial"/>
                <w:color w:val="000000"/>
                <w:sz w:val="20"/>
                <w:szCs w:val="20"/>
                <w:lang w:eastAsia="en-GB"/>
              </w:rPr>
              <w:t>Total</w:t>
            </w:r>
          </w:p>
        </w:tc>
        <w:tc>
          <w:tcPr>
            <w:tcW w:w="567" w:type="dxa"/>
            <w:shd w:val="clear" w:color="auto" w:fill="auto"/>
            <w:noWrap/>
          </w:tcPr>
          <w:p w14:paraId="5AC9F7E8"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11</w:t>
            </w:r>
          </w:p>
        </w:tc>
        <w:tc>
          <w:tcPr>
            <w:tcW w:w="567" w:type="dxa"/>
            <w:shd w:val="clear" w:color="auto" w:fill="auto"/>
            <w:noWrap/>
          </w:tcPr>
          <w:p w14:paraId="11385B85"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34</w:t>
            </w:r>
          </w:p>
        </w:tc>
        <w:tc>
          <w:tcPr>
            <w:tcW w:w="567" w:type="dxa"/>
            <w:shd w:val="clear" w:color="auto" w:fill="auto"/>
            <w:noWrap/>
          </w:tcPr>
          <w:p w14:paraId="3A1BC7CC"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50</w:t>
            </w:r>
          </w:p>
        </w:tc>
        <w:tc>
          <w:tcPr>
            <w:tcW w:w="567" w:type="dxa"/>
            <w:shd w:val="clear" w:color="auto" w:fill="auto"/>
            <w:noWrap/>
          </w:tcPr>
          <w:p w14:paraId="56CCA5B7"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85</w:t>
            </w:r>
          </w:p>
        </w:tc>
        <w:tc>
          <w:tcPr>
            <w:tcW w:w="567" w:type="dxa"/>
            <w:shd w:val="clear" w:color="auto" w:fill="auto"/>
            <w:noWrap/>
          </w:tcPr>
          <w:p w14:paraId="03FE37B3"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92</w:t>
            </w:r>
          </w:p>
        </w:tc>
        <w:tc>
          <w:tcPr>
            <w:tcW w:w="567" w:type="dxa"/>
            <w:shd w:val="clear" w:color="auto" w:fill="auto"/>
            <w:noWrap/>
          </w:tcPr>
          <w:p w14:paraId="4AAB75D0"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15</w:t>
            </w:r>
          </w:p>
        </w:tc>
        <w:tc>
          <w:tcPr>
            <w:tcW w:w="567" w:type="dxa"/>
            <w:shd w:val="clear" w:color="auto" w:fill="auto"/>
            <w:noWrap/>
          </w:tcPr>
          <w:p w14:paraId="2ED397B6"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w:t>
            </w:r>
          </w:p>
        </w:tc>
        <w:tc>
          <w:tcPr>
            <w:tcW w:w="567" w:type="dxa"/>
            <w:shd w:val="clear" w:color="auto" w:fill="auto"/>
            <w:noWrap/>
          </w:tcPr>
          <w:p w14:paraId="066FF138"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44</w:t>
            </w:r>
          </w:p>
        </w:tc>
        <w:tc>
          <w:tcPr>
            <w:tcW w:w="567" w:type="dxa"/>
            <w:shd w:val="clear" w:color="auto" w:fill="auto"/>
            <w:noWrap/>
          </w:tcPr>
          <w:p w14:paraId="0F85AB7E"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2</w:t>
            </w:r>
          </w:p>
        </w:tc>
        <w:tc>
          <w:tcPr>
            <w:tcW w:w="567" w:type="dxa"/>
            <w:shd w:val="clear" w:color="auto" w:fill="auto"/>
            <w:noWrap/>
          </w:tcPr>
          <w:p w14:paraId="1610B274" w14:textId="77777777" w:rsidR="00EB61EA" w:rsidRPr="001E6841" w:rsidRDefault="00EB61EA" w:rsidP="00705EED">
            <w:pPr>
              <w:jc w:val="center"/>
              <w:rPr>
                <w:rFonts w:eastAsia="Times New Roman" w:cs="Arial"/>
                <w:sz w:val="20"/>
                <w:szCs w:val="20"/>
                <w:lang w:eastAsia="en-GB"/>
              </w:rPr>
            </w:pPr>
            <w:r w:rsidRPr="00C54ED3">
              <w:rPr>
                <w:rFonts w:cs="Arial"/>
                <w:sz w:val="20"/>
                <w:szCs w:val="20"/>
              </w:rPr>
              <w:t>1</w:t>
            </w:r>
          </w:p>
        </w:tc>
        <w:tc>
          <w:tcPr>
            <w:tcW w:w="584" w:type="dxa"/>
            <w:shd w:val="clear" w:color="auto" w:fill="auto"/>
            <w:noWrap/>
          </w:tcPr>
          <w:p w14:paraId="199AD007" w14:textId="77777777" w:rsidR="00EB61EA" w:rsidRPr="001E6841" w:rsidRDefault="00EB61EA" w:rsidP="00705EED">
            <w:pPr>
              <w:jc w:val="center"/>
              <w:rPr>
                <w:rFonts w:eastAsia="Times New Roman" w:cs="Arial"/>
                <w:color w:val="000000"/>
                <w:sz w:val="20"/>
                <w:szCs w:val="20"/>
                <w:lang w:eastAsia="en-GB"/>
              </w:rPr>
            </w:pPr>
            <w:r w:rsidRPr="00C54ED3">
              <w:rPr>
                <w:rFonts w:cs="Arial"/>
                <w:sz w:val="20"/>
                <w:szCs w:val="20"/>
              </w:rPr>
              <w:t>335</w:t>
            </w:r>
          </w:p>
        </w:tc>
      </w:tr>
    </w:tbl>
    <w:p w14:paraId="12EB3BFD" w14:textId="23706D1C" w:rsidR="00EB61EA" w:rsidRPr="00575080" w:rsidRDefault="00EB61EA" w:rsidP="00EB61EA">
      <w:pPr>
        <w:spacing w:before="240" w:after="200"/>
        <w:rPr>
          <w:rFonts w:cs="Arial"/>
          <w:sz w:val="22"/>
          <w:szCs w:val="22"/>
          <w:highlight w:val="yellow"/>
        </w:rPr>
      </w:pPr>
      <w:r w:rsidRPr="00C54ED3">
        <w:rPr>
          <w:rFonts w:cs="Arial"/>
          <w:sz w:val="22"/>
          <w:szCs w:val="22"/>
        </w:rPr>
        <w:t xml:space="preserve">The 335 in scope deaths were reviewed in line with the National Quality Board levels of scrutiny as outlined in </w:t>
      </w:r>
      <w:r w:rsidRPr="00DF6332">
        <w:rPr>
          <w:rFonts w:cs="Arial"/>
          <w:sz w:val="22"/>
          <w:szCs w:val="22"/>
        </w:rPr>
        <w:t xml:space="preserve">Figure 2. Figure </w:t>
      </w:r>
      <w:r w:rsidR="004E4993">
        <w:rPr>
          <w:rFonts w:cs="Arial"/>
          <w:sz w:val="22"/>
          <w:szCs w:val="22"/>
        </w:rPr>
        <w:t>4</w:t>
      </w:r>
      <w:r w:rsidRPr="00DF6332">
        <w:rPr>
          <w:rFonts w:cs="Arial"/>
          <w:sz w:val="22"/>
          <w:szCs w:val="22"/>
        </w:rPr>
        <w:t xml:space="preserve"> shows</w:t>
      </w:r>
      <w:r w:rsidRPr="00C54ED3">
        <w:rPr>
          <w:rFonts w:cs="Arial"/>
          <w:sz w:val="22"/>
          <w:szCs w:val="22"/>
        </w:rPr>
        <w:t xml:space="preserve"> the in-scope deaths by financial quarter they were reported in, against the review level and process. </w:t>
      </w:r>
    </w:p>
    <w:p w14:paraId="65690617" w14:textId="55B14476" w:rsidR="00EB61EA" w:rsidRPr="00C54ED3" w:rsidRDefault="00EB61EA" w:rsidP="00EB61EA">
      <w:pPr>
        <w:pStyle w:val="Caption"/>
        <w:keepNext/>
      </w:pPr>
      <w:r w:rsidRPr="00C54ED3">
        <w:t xml:space="preserve">Figure </w:t>
      </w:r>
      <w:r>
        <w:fldChar w:fldCharType="begin"/>
      </w:r>
      <w:r>
        <w:instrText xml:space="preserve"> SEQ Figure \* ARABIC </w:instrText>
      </w:r>
      <w:r>
        <w:fldChar w:fldCharType="separate"/>
      </w:r>
      <w:r w:rsidR="004E4993">
        <w:rPr>
          <w:noProof/>
        </w:rPr>
        <w:t>4</w:t>
      </w:r>
      <w:r>
        <w:rPr>
          <w:noProof/>
        </w:rPr>
        <w:fldChar w:fldCharType="end"/>
      </w:r>
      <w:bookmarkStart w:id="3" w:name="_Toc10195992"/>
      <w:r w:rsidRPr="00C54ED3">
        <w:t xml:space="preserve"> Learning from Healthcare Deaths during 2020/21 by financial quarter and mortality review process</w:t>
      </w:r>
      <w:bookmarkEnd w:id="3"/>
    </w:p>
    <w:tbl>
      <w:tblPr>
        <w:tblW w:w="8878" w:type="dxa"/>
        <w:jc w:val="center"/>
        <w:tblLook w:val="04A0" w:firstRow="1" w:lastRow="0" w:firstColumn="1" w:lastColumn="0" w:noHBand="0" w:noVBand="1"/>
      </w:tblPr>
      <w:tblGrid>
        <w:gridCol w:w="1291"/>
        <w:gridCol w:w="917"/>
        <w:gridCol w:w="764"/>
        <w:gridCol w:w="851"/>
        <w:gridCol w:w="1134"/>
        <w:gridCol w:w="708"/>
        <w:gridCol w:w="1134"/>
        <w:gridCol w:w="567"/>
        <w:gridCol w:w="851"/>
        <w:gridCol w:w="661"/>
      </w:tblGrid>
      <w:tr w:rsidR="00EB61EA" w:rsidRPr="00157033" w14:paraId="5F7EDD16" w14:textId="77777777" w:rsidTr="00705EED">
        <w:trPr>
          <w:trHeight w:val="300"/>
          <w:jc w:val="center"/>
        </w:trPr>
        <w:tc>
          <w:tcPr>
            <w:tcW w:w="1291" w:type="dxa"/>
            <w:vMerge w:val="restart"/>
            <w:tcBorders>
              <w:top w:val="single" w:sz="4" w:space="0" w:color="000000"/>
              <w:left w:val="single" w:sz="4" w:space="0" w:color="000000"/>
              <w:right w:val="single" w:sz="4" w:space="0" w:color="000000"/>
            </w:tcBorders>
            <w:shd w:val="clear" w:color="auto" w:fill="auto"/>
            <w:noWrap/>
          </w:tcPr>
          <w:p w14:paraId="091B8E81"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Financial quarter</w:t>
            </w:r>
          </w:p>
        </w:tc>
        <w:tc>
          <w:tcPr>
            <w:tcW w:w="917" w:type="dxa"/>
            <w:tcBorders>
              <w:top w:val="single" w:sz="4" w:space="0" w:color="000000"/>
              <w:left w:val="nil"/>
              <w:bottom w:val="single" w:sz="4" w:space="0" w:color="000000"/>
              <w:right w:val="single" w:sz="4" w:space="0" w:color="000000"/>
            </w:tcBorders>
            <w:shd w:val="clear" w:color="auto" w:fill="8EAADB" w:themeFill="accent1" w:themeFillTint="99"/>
            <w:noWrap/>
          </w:tcPr>
          <w:p w14:paraId="01369ECB"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Level 1</w:t>
            </w:r>
          </w:p>
        </w:tc>
        <w:tc>
          <w:tcPr>
            <w:tcW w:w="1615" w:type="dxa"/>
            <w:gridSpan w:val="2"/>
            <w:tcBorders>
              <w:top w:val="single" w:sz="4" w:space="0" w:color="000000"/>
              <w:left w:val="nil"/>
              <w:bottom w:val="single" w:sz="4" w:space="0" w:color="000000"/>
              <w:right w:val="single" w:sz="4" w:space="0" w:color="000000"/>
            </w:tcBorders>
            <w:shd w:val="clear" w:color="auto" w:fill="F4B083" w:themeFill="accent2" w:themeFillTint="99"/>
            <w:noWrap/>
          </w:tcPr>
          <w:p w14:paraId="27768081"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Level 2</w:t>
            </w:r>
          </w:p>
        </w:tc>
        <w:tc>
          <w:tcPr>
            <w:tcW w:w="4394" w:type="dxa"/>
            <w:gridSpan w:val="5"/>
            <w:tcBorders>
              <w:top w:val="single" w:sz="4" w:space="0" w:color="000000"/>
              <w:left w:val="nil"/>
              <w:bottom w:val="single" w:sz="4" w:space="0" w:color="000000"/>
              <w:right w:val="single" w:sz="4" w:space="0" w:color="auto"/>
            </w:tcBorders>
            <w:shd w:val="clear" w:color="auto" w:fill="C9C9C9" w:themeFill="accent3" w:themeFillTint="99"/>
            <w:noWrap/>
          </w:tcPr>
          <w:p w14:paraId="082C9588"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Level 3</w:t>
            </w:r>
          </w:p>
        </w:tc>
        <w:tc>
          <w:tcPr>
            <w:tcW w:w="661" w:type="dxa"/>
            <w:tcBorders>
              <w:top w:val="single" w:sz="4" w:space="0" w:color="000000"/>
              <w:left w:val="nil"/>
              <w:right w:val="single" w:sz="4" w:space="0" w:color="auto"/>
            </w:tcBorders>
            <w:shd w:val="clear" w:color="auto" w:fill="auto"/>
          </w:tcPr>
          <w:p w14:paraId="31713805" w14:textId="77777777" w:rsidR="00EB61EA" w:rsidRPr="00157033" w:rsidRDefault="00EB61EA" w:rsidP="00705EED">
            <w:pPr>
              <w:jc w:val="center"/>
              <w:rPr>
                <w:rFonts w:eastAsia="Times New Roman" w:cs="Arial"/>
                <w:bCs/>
                <w:sz w:val="20"/>
                <w:szCs w:val="20"/>
              </w:rPr>
            </w:pPr>
            <w:r w:rsidRPr="00157033">
              <w:rPr>
                <w:rFonts w:eastAsia="Times New Roman" w:cs="Arial"/>
                <w:bCs/>
                <w:sz w:val="20"/>
                <w:szCs w:val="20"/>
              </w:rPr>
              <w:t>Total</w:t>
            </w:r>
          </w:p>
        </w:tc>
      </w:tr>
      <w:tr w:rsidR="00EB61EA" w:rsidRPr="00157033" w14:paraId="7DB83274" w14:textId="77777777" w:rsidTr="00705EED">
        <w:trPr>
          <w:cantSplit/>
          <w:trHeight w:val="1819"/>
          <w:jc w:val="center"/>
        </w:trPr>
        <w:tc>
          <w:tcPr>
            <w:tcW w:w="1291" w:type="dxa"/>
            <w:vMerge/>
            <w:tcBorders>
              <w:left w:val="single" w:sz="4" w:space="0" w:color="000000"/>
              <w:bottom w:val="single" w:sz="4" w:space="0" w:color="000000"/>
              <w:right w:val="single" w:sz="4" w:space="0" w:color="000000"/>
            </w:tcBorders>
            <w:shd w:val="clear" w:color="auto" w:fill="auto"/>
            <w:noWrap/>
            <w:hideMark/>
          </w:tcPr>
          <w:p w14:paraId="20F47F35" w14:textId="77777777" w:rsidR="00EB61EA" w:rsidRPr="00157033" w:rsidRDefault="00EB61EA" w:rsidP="00705EED">
            <w:pPr>
              <w:jc w:val="center"/>
              <w:rPr>
                <w:rFonts w:eastAsia="Times New Roman" w:cs="Arial"/>
                <w:bCs/>
                <w:color w:val="000000"/>
                <w:sz w:val="20"/>
                <w:szCs w:val="20"/>
              </w:rPr>
            </w:pPr>
          </w:p>
        </w:tc>
        <w:tc>
          <w:tcPr>
            <w:tcW w:w="917" w:type="dxa"/>
            <w:tcBorders>
              <w:top w:val="single" w:sz="4" w:space="0" w:color="000000"/>
              <w:left w:val="nil"/>
              <w:bottom w:val="single" w:sz="4" w:space="0" w:color="000000"/>
              <w:right w:val="single" w:sz="4" w:space="0" w:color="000000"/>
            </w:tcBorders>
            <w:shd w:val="clear" w:color="auto" w:fill="8EAADB" w:themeFill="accent1" w:themeFillTint="99"/>
            <w:noWrap/>
            <w:textDirection w:val="btLr"/>
            <w:vAlign w:val="center"/>
            <w:hideMark/>
          </w:tcPr>
          <w:p w14:paraId="5EC0C6C1"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Death certified</w:t>
            </w:r>
          </w:p>
        </w:tc>
        <w:tc>
          <w:tcPr>
            <w:tcW w:w="764" w:type="dxa"/>
            <w:tcBorders>
              <w:top w:val="single" w:sz="4" w:space="0" w:color="000000"/>
              <w:left w:val="nil"/>
              <w:bottom w:val="single" w:sz="4" w:space="0" w:color="000000"/>
              <w:right w:val="single" w:sz="4" w:space="0" w:color="000000"/>
            </w:tcBorders>
            <w:shd w:val="clear" w:color="auto" w:fill="F4B083" w:themeFill="accent2" w:themeFillTint="99"/>
            <w:noWrap/>
            <w:textDirection w:val="btLr"/>
            <w:vAlign w:val="center"/>
            <w:hideMark/>
          </w:tcPr>
          <w:p w14:paraId="2495C44A"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 xml:space="preserve">Manager's 48-hour review </w:t>
            </w:r>
          </w:p>
        </w:tc>
        <w:tc>
          <w:tcPr>
            <w:tcW w:w="851" w:type="dxa"/>
            <w:tcBorders>
              <w:top w:val="single" w:sz="4" w:space="0" w:color="000000"/>
              <w:left w:val="nil"/>
              <w:bottom w:val="single" w:sz="4" w:space="0" w:color="000000"/>
              <w:right w:val="single" w:sz="4" w:space="0" w:color="000000"/>
            </w:tcBorders>
            <w:shd w:val="clear" w:color="auto" w:fill="F4B083" w:themeFill="accent2" w:themeFillTint="99"/>
            <w:noWrap/>
            <w:textDirection w:val="btLr"/>
            <w:vAlign w:val="center"/>
            <w:hideMark/>
          </w:tcPr>
          <w:p w14:paraId="20980D1F"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Structured Judgement Review (SJR)</w:t>
            </w:r>
          </w:p>
        </w:tc>
        <w:tc>
          <w:tcPr>
            <w:tcW w:w="1134" w:type="dxa"/>
            <w:tcBorders>
              <w:top w:val="single" w:sz="4" w:space="0" w:color="000000"/>
              <w:left w:val="nil"/>
              <w:bottom w:val="single" w:sz="4" w:space="0" w:color="000000"/>
              <w:right w:val="single" w:sz="4" w:space="0" w:color="000000"/>
            </w:tcBorders>
            <w:shd w:val="clear" w:color="auto" w:fill="C9C9C9" w:themeFill="accent3" w:themeFillTint="99"/>
            <w:noWrap/>
            <w:textDirection w:val="btLr"/>
            <w:vAlign w:val="center"/>
            <w:hideMark/>
          </w:tcPr>
          <w:p w14:paraId="043C279F"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Service Level Investigation</w:t>
            </w:r>
          </w:p>
          <w:p w14:paraId="12C8AB92"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/Significant Event Analysis</w:t>
            </w:r>
          </w:p>
        </w:tc>
        <w:tc>
          <w:tcPr>
            <w:tcW w:w="708" w:type="dxa"/>
            <w:tcBorders>
              <w:top w:val="single" w:sz="4" w:space="0" w:color="000000"/>
              <w:left w:val="nil"/>
              <w:bottom w:val="single" w:sz="4" w:space="0" w:color="000000"/>
              <w:right w:val="single" w:sz="4" w:space="0" w:color="000000"/>
            </w:tcBorders>
            <w:shd w:val="clear" w:color="auto" w:fill="C9C9C9" w:themeFill="accent3" w:themeFillTint="99"/>
            <w:noWrap/>
            <w:textDirection w:val="btLr"/>
            <w:vAlign w:val="center"/>
            <w:hideMark/>
          </w:tcPr>
          <w:p w14:paraId="376ACB58"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Serious Incident Investigation</w:t>
            </w:r>
          </w:p>
        </w:tc>
        <w:tc>
          <w:tcPr>
            <w:tcW w:w="1134" w:type="dxa"/>
            <w:tcBorders>
              <w:top w:val="single" w:sz="4" w:space="0" w:color="000000"/>
              <w:left w:val="nil"/>
              <w:bottom w:val="single" w:sz="4" w:space="0" w:color="000000"/>
              <w:right w:val="single" w:sz="4" w:space="0" w:color="000000"/>
            </w:tcBorders>
            <w:shd w:val="clear" w:color="auto" w:fill="C9C9C9" w:themeFill="accent3" w:themeFillTint="99"/>
            <w:noWrap/>
            <w:textDirection w:val="btLr"/>
            <w:vAlign w:val="center"/>
            <w:hideMark/>
          </w:tcPr>
          <w:p w14:paraId="1707B781"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Learning Disability Mortality Review (LeDeR)</w:t>
            </w:r>
          </w:p>
        </w:tc>
        <w:tc>
          <w:tcPr>
            <w:tcW w:w="567" w:type="dxa"/>
            <w:tcBorders>
              <w:top w:val="single" w:sz="4" w:space="0" w:color="000000"/>
              <w:left w:val="nil"/>
              <w:bottom w:val="single" w:sz="4" w:space="0" w:color="000000"/>
              <w:right w:val="single" w:sz="4" w:space="0" w:color="auto"/>
            </w:tcBorders>
            <w:shd w:val="clear" w:color="auto" w:fill="C9C9C9" w:themeFill="accent3" w:themeFillTint="99"/>
            <w:noWrap/>
            <w:textDirection w:val="btLr"/>
            <w:vAlign w:val="center"/>
            <w:hideMark/>
          </w:tcPr>
          <w:p w14:paraId="1E177CBF"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Safeguard review</w:t>
            </w:r>
          </w:p>
        </w:tc>
        <w:tc>
          <w:tcPr>
            <w:tcW w:w="851" w:type="dxa"/>
            <w:tcBorders>
              <w:top w:val="single" w:sz="4" w:space="0" w:color="auto"/>
              <w:left w:val="single" w:sz="4" w:space="0" w:color="auto"/>
              <w:bottom w:val="single" w:sz="4" w:space="0" w:color="auto"/>
              <w:right w:val="single" w:sz="4" w:space="0" w:color="000000"/>
            </w:tcBorders>
            <w:shd w:val="clear" w:color="auto" w:fill="C9C9C9" w:themeFill="accent3" w:themeFillTint="99"/>
            <w:textDirection w:val="btLr"/>
            <w:vAlign w:val="center"/>
          </w:tcPr>
          <w:p w14:paraId="06197DA9" w14:textId="77777777" w:rsidR="00EB61EA" w:rsidRPr="00157033" w:rsidRDefault="00EB61EA" w:rsidP="00705EED">
            <w:pPr>
              <w:ind w:left="113" w:right="113"/>
              <w:rPr>
                <w:rFonts w:eastAsia="Times New Roman" w:cs="Arial"/>
                <w:bCs/>
                <w:color w:val="000000"/>
                <w:sz w:val="20"/>
                <w:szCs w:val="20"/>
              </w:rPr>
            </w:pPr>
            <w:r w:rsidRPr="00157033">
              <w:rPr>
                <w:rFonts w:eastAsia="Times New Roman" w:cs="Arial"/>
                <w:bCs/>
                <w:color w:val="000000"/>
                <w:sz w:val="20"/>
                <w:szCs w:val="20"/>
              </w:rPr>
              <w:t>Specialist IPC Root Cause Analysis</w:t>
            </w:r>
          </w:p>
        </w:tc>
        <w:tc>
          <w:tcPr>
            <w:tcW w:w="661" w:type="dxa"/>
            <w:tcBorders>
              <w:left w:val="single" w:sz="4" w:space="0" w:color="auto"/>
              <w:bottom w:val="single" w:sz="4" w:space="0" w:color="000000"/>
              <w:right w:val="single" w:sz="4" w:space="0" w:color="auto"/>
            </w:tcBorders>
            <w:shd w:val="clear" w:color="auto" w:fill="auto"/>
          </w:tcPr>
          <w:p w14:paraId="1AF680CF" w14:textId="77777777" w:rsidR="00EB61EA" w:rsidRPr="00157033" w:rsidRDefault="00EB61EA" w:rsidP="00705EED">
            <w:pPr>
              <w:jc w:val="center"/>
              <w:rPr>
                <w:rFonts w:eastAsia="Times New Roman" w:cs="Arial"/>
                <w:bCs/>
                <w:sz w:val="20"/>
                <w:szCs w:val="20"/>
              </w:rPr>
            </w:pPr>
          </w:p>
        </w:tc>
      </w:tr>
      <w:tr w:rsidR="00EB61EA" w:rsidRPr="00157033" w14:paraId="4348D47F" w14:textId="77777777" w:rsidTr="00705EED">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1E748142" w14:textId="77777777" w:rsidR="00EB61EA" w:rsidRPr="00157033" w:rsidRDefault="00EB61EA" w:rsidP="00705EED">
            <w:pPr>
              <w:rPr>
                <w:rFonts w:eastAsia="Times New Roman" w:cs="Arial"/>
                <w:bCs/>
                <w:color w:val="000000"/>
                <w:sz w:val="20"/>
                <w:szCs w:val="20"/>
              </w:rPr>
            </w:pPr>
            <w:r w:rsidRPr="00157033">
              <w:rPr>
                <w:rFonts w:eastAsia="Times New Roman" w:cs="Arial"/>
                <w:bCs/>
                <w:color w:val="000000"/>
                <w:sz w:val="20"/>
                <w:szCs w:val="20"/>
              </w:rPr>
              <w:t>Quarter 1</w:t>
            </w:r>
          </w:p>
        </w:tc>
        <w:tc>
          <w:tcPr>
            <w:tcW w:w="917" w:type="dxa"/>
            <w:tcBorders>
              <w:top w:val="nil"/>
              <w:left w:val="nil"/>
              <w:bottom w:val="single" w:sz="4" w:space="0" w:color="000000"/>
              <w:right w:val="single" w:sz="4" w:space="0" w:color="000000"/>
            </w:tcBorders>
            <w:shd w:val="clear" w:color="auto" w:fill="auto"/>
            <w:noWrap/>
            <w:vAlign w:val="center"/>
          </w:tcPr>
          <w:p w14:paraId="768F70DA"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43</w:t>
            </w:r>
          </w:p>
        </w:tc>
        <w:tc>
          <w:tcPr>
            <w:tcW w:w="764" w:type="dxa"/>
            <w:tcBorders>
              <w:top w:val="nil"/>
              <w:left w:val="nil"/>
              <w:bottom w:val="single" w:sz="4" w:space="0" w:color="000000"/>
              <w:right w:val="single" w:sz="4" w:space="0" w:color="000000"/>
            </w:tcBorders>
            <w:shd w:val="clear" w:color="auto" w:fill="auto"/>
            <w:noWrap/>
            <w:vAlign w:val="center"/>
          </w:tcPr>
          <w:p w14:paraId="77E95E04"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19</w:t>
            </w:r>
          </w:p>
        </w:tc>
        <w:tc>
          <w:tcPr>
            <w:tcW w:w="851" w:type="dxa"/>
            <w:tcBorders>
              <w:top w:val="nil"/>
              <w:left w:val="nil"/>
              <w:bottom w:val="single" w:sz="4" w:space="0" w:color="000000"/>
              <w:right w:val="single" w:sz="4" w:space="0" w:color="000000"/>
            </w:tcBorders>
            <w:shd w:val="clear" w:color="auto" w:fill="auto"/>
            <w:noWrap/>
            <w:vAlign w:val="center"/>
          </w:tcPr>
          <w:p w14:paraId="4EC8C559"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7</w:t>
            </w:r>
          </w:p>
        </w:tc>
        <w:tc>
          <w:tcPr>
            <w:tcW w:w="1134" w:type="dxa"/>
            <w:tcBorders>
              <w:top w:val="nil"/>
              <w:left w:val="nil"/>
              <w:bottom w:val="single" w:sz="4" w:space="0" w:color="000000"/>
              <w:right w:val="single" w:sz="4" w:space="0" w:color="000000"/>
            </w:tcBorders>
            <w:shd w:val="clear" w:color="auto" w:fill="auto"/>
            <w:noWrap/>
            <w:vAlign w:val="center"/>
          </w:tcPr>
          <w:p w14:paraId="0747D7F4"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color w:val="000000"/>
                <w:sz w:val="20"/>
                <w:szCs w:val="20"/>
                <w:lang w:eastAsia="en-GB"/>
              </w:rPr>
              <w:t>6</w:t>
            </w:r>
          </w:p>
        </w:tc>
        <w:tc>
          <w:tcPr>
            <w:tcW w:w="708" w:type="dxa"/>
            <w:tcBorders>
              <w:top w:val="nil"/>
              <w:left w:val="nil"/>
              <w:bottom w:val="single" w:sz="4" w:space="0" w:color="000000"/>
              <w:right w:val="single" w:sz="4" w:space="0" w:color="000000"/>
            </w:tcBorders>
            <w:shd w:val="clear" w:color="auto" w:fill="auto"/>
            <w:noWrap/>
            <w:vAlign w:val="center"/>
          </w:tcPr>
          <w:p w14:paraId="6A345F57"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4</w:t>
            </w:r>
          </w:p>
        </w:tc>
        <w:tc>
          <w:tcPr>
            <w:tcW w:w="1134" w:type="dxa"/>
            <w:tcBorders>
              <w:top w:val="nil"/>
              <w:left w:val="nil"/>
              <w:bottom w:val="single" w:sz="4" w:space="0" w:color="000000"/>
              <w:right w:val="single" w:sz="4" w:space="0" w:color="000000"/>
            </w:tcBorders>
            <w:shd w:val="clear" w:color="auto" w:fill="auto"/>
            <w:noWrap/>
            <w:vAlign w:val="center"/>
          </w:tcPr>
          <w:p w14:paraId="763A732E"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14</w:t>
            </w:r>
          </w:p>
        </w:tc>
        <w:tc>
          <w:tcPr>
            <w:tcW w:w="567" w:type="dxa"/>
            <w:tcBorders>
              <w:top w:val="nil"/>
              <w:left w:val="nil"/>
              <w:bottom w:val="single" w:sz="4" w:space="0" w:color="000000"/>
              <w:right w:val="single" w:sz="4" w:space="0" w:color="auto"/>
            </w:tcBorders>
            <w:shd w:val="clear" w:color="auto" w:fill="auto"/>
            <w:noWrap/>
            <w:vAlign w:val="center"/>
          </w:tcPr>
          <w:p w14:paraId="3B619F1A"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851" w:type="dxa"/>
            <w:tcBorders>
              <w:top w:val="single" w:sz="4" w:space="0" w:color="auto"/>
              <w:left w:val="single" w:sz="4" w:space="0" w:color="auto"/>
              <w:bottom w:val="single" w:sz="4" w:space="0" w:color="auto"/>
              <w:right w:val="single" w:sz="4" w:space="0" w:color="000000"/>
            </w:tcBorders>
            <w:vAlign w:val="center"/>
          </w:tcPr>
          <w:p w14:paraId="2B2177CC"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661" w:type="dxa"/>
            <w:tcBorders>
              <w:top w:val="nil"/>
              <w:left w:val="single" w:sz="4" w:space="0" w:color="auto"/>
              <w:bottom w:val="single" w:sz="4" w:space="0" w:color="000000"/>
              <w:right w:val="single" w:sz="4" w:space="0" w:color="000000"/>
            </w:tcBorders>
            <w:vAlign w:val="center"/>
          </w:tcPr>
          <w:p w14:paraId="3DFD8E4C" w14:textId="77777777" w:rsidR="00EB61EA" w:rsidRPr="00157033" w:rsidRDefault="00EB61EA" w:rsidP="00705EED">
            <w:pPr>
              <w:rPr>
                <w:rFonts w:eastAsia="Times New Roman" w:cs="Arial"/>
                <w:bCs/>
                <w:sz w:val="20"/>
                <w:szCs w:val="20"/>
                <w:highlight w:val="yellow"/>
              </w:rPr>
            </w:pPr>
            <w:r w:rsidRPr="00C54ED3">
              <w:rPr>
                <w:rFonts w:eastAsia="Times New Roman" w:cs="Arial"/>
                <w:color w:val="000000"/>
                <w:sz w:val="20"/>
                <w:szCs w:val="20"/>
                <w:lang w:eastAsia="en-GB"/>
              </w:rPr>
              <w:t>93</w:t>
            </w:r>
          </w:p>
        </w:tc>
      </w:tr>
      <w:tr w:rsidR="00EB61EA" w:rsidRPr="00157033" w14:paraId="4A7E7344" w14:textId="77777777" w:rsidTr="00705EED">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5C0CF2A3" w14:textId="77777777" w:rsidR="00EB61EA" w:rsidRPr="00157033" w:rsidRDefault="00EB61EA" w:rsidP="00705EED">
            <w:pPr>
              <w:rPr>
                <w:rFonts w:eastAsia="Times New Roman" w:cs="Arial"/>
                <w:bCs/>
                <w:color w:val="000000"/>
                <w:sz w:val="20"/>
                <w:szCs w:val="20"/>
              </w:rPr>
            </w:pPr>
            <w:r w:rsidRPr="00157033">
              <w:rPr>
                <w:rFonts w:eastAsia="Times New Roman" w:cs="Arial"/>
                <w:bCs/>
                <w:color w:val="000000"/>
                <w:sz w:val="20"/>
                <w:szCs w:val="20"/>
              </w:rPr>
              <w:t>Quarter 2</w:t>
            </w:r>
          </w:p>
        </w:tc>
        <w:tc>
          <w:tcPr>
            <w:tcW w:w="917" w:type="dxa"/>
            <w:tcBorders>
              <w:top w:val="nil"/>
              <w:left w:val="nil"/>
              <w:bottom w:val="single" w:sz="4" w:space="0" w:color="000000"/>
              <w:right w:val="single" w:sz="4" w:space="0" w:color="000000"/>
            </w:tcBorders>
            <w:shd w:val="clear" w:color="auto" w:fill="auto"/>
            <w:noWrap/>
            <w:vAlign w:val="center"/>
          </w:tcPr>
          <w:p w14:paraId="77C543A2"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33</w:t>
            </w:r>
          </w:p>
        </w:tc>
        <w:tc>
          <w:tcPr>
            <w:tcW w:w="764" w:type="dxa"/>
            <w:tcBorders>
              <w:top w:val="nil"/>
              <w:left w:val="nil"/>
              <w:bottom w:val="single" w:sz="4" w:space="0" w:color="000000"/>
              <w:right w:val="single" w:sz="4" w:space="0" w:color="000000"/>
            </w:tcBorders>
            <w:shd w:val="clear" w:color="auto" w:fill="auto"/>
            <w:noWrap/>
            <w:vAlign w:val="center"/>
          </w:tcPr>
          <w:p w14:paraId="65C097AF"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12</w:t>
            </w:r>
          </w:p>
        </w:tc>
        <w:tc>
          <w:tcPr>
            <w:tcW w:w="851" w:type="dxa"/>
            <w:tcBorders>
              <w:top w:val="nil"/>
              <w:left w:val="nil"/>
              <w:bottom w:val="single" w:sz="4" w:space="0" w:color="000000"/>
              <w:right w:val="single" w:sz="4" w:space="0" w:color="000000"/>
            </w:tcBorders>
            <w:shd w:val="clear" w:color="auto" w:fill="auto"/>
            <w:noWrap/>
            <w:vAlign w:val="center"/>
          </w:tcPr>
          <w:p w14:paraId="2887FBE7"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8</w:t>
            </w:r>
          </w:p>
        </w:tc>
        <w:tc>
          <w:tcPr>
            <w:tcW w:w="1134" w:type="dxa"/>
            <w:tcBorders>
              <w:top w:val="nil"/>
              <w:left w:val="nil"/>
              <w:bottom w:val="single" w:sz="4" w:space="0" w:color="000000"/>
              <w:right w:val="single" w:sz="4" w:space="0" w:color="000000"/>
            </w:tcBorders>
            <w:shd w:val="clear" w:color="auto" w:fill="auto"/>
            <w:noWrap/>
            <w:vAlign w:val="center"/>
          </w:tcPr>
          <w:p w14:paraId="03D792E8"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0</w:t>
            </w:r>
          </w:p>
        </w:tc>
        <w:tc>
          <w:tcPr>
            <w:tcW w:w="708" w:type="dxa"/>
            <w:tcBorders>
              <w:top w:val="nil"/>
              <w:left w:val="nil"/>
              <w:bottom w:val="single" w:sz="4" w:space="0" w:color="000000"/>
              <w:right w:val="single" w:sz="4" w:space="0" w:color="000000"/>
            </w:tcBorders>
            <w:shd w:val="clear" w:color="auto" w:fill="auto"/>
            <w:noWrap/>
            <w:vAlign w:val="center"/>
          </w:tcPr>
          <w:p w14:paraId="002B746D"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noWrap/>
            <w:vAlign w:val="center"/>
          </w:tcPr>
          <w:p w14:paraId="1E1E182C"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13</w:t>
            </w:r>
          </w:p>
        </w:tc>
        <w:tc>
          <w:tcPr>
            <w:tcW w:w="567" w:type="dxa"/>
            <w:tcBorders>
              <w:top w:val="nil"/>
              <w:left w:val="nil"/>
              <w:bottom w:val="single" w:sz="4" w:space="0" w:color="000000"/>
              <w:right w:val="single" w:sz="4" w:space="0" w:color="auto"/>
            </w:tcBorders>
            <w:shd w:val="clear" w:color="auto" w:fill="auto"/>
            <w:noWrap/>
            <w:vAlign w:val="center"/>
          </w:tcPr>
          <w:p w14:paraId="039207A9"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851" w:type="dxa"/>
            <w:tcBorders>
              <w:top w:val="single" w:sz="4" w:space="0" w:color="auto"/>
              <w:left w:val="single" w:sz="4" w:space="0" w:color="auto"/>
              <w:bottom w:val="single" w:sz="4" w:space="0" w:color="auto"/>
              <w:right w:val="single" w:sz="4" w:space="0" w:color="000000"/>
            </w:tcBorders>
            <w:vAlign w:val="center"/>
          </w:tcPr>
          <w:p w14:paraId="143C9EB0"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661" w:type="dxa"/>
            <w:tcBorders>
              <w:top w:val="nil"/>
              <w:left w:val="single" w:sz="4" w:space="0" w:color="auto"/>
              <w:bottom w:val="single" w:sz="4" w:space="0" w:color="000000"/>
              <w:right w:val="single" w:sz="4" w:space="0" w:color="000000"/>
            </w:tcBorders>
            <w:vAlign w:val="center"/>
          </w:tcPr>
          <w:p w14:paraId="74A07391" w14:textId="77777777" w:rsidR="00EB61EA" w:rsidRPr="00157033" w:rsidRDefault="00EB61EA" w:rsidP="00705EED">
            <w:pPr>
              <w:rPr>
                <w:rFonts w:eastAsia="Times New Roman" w:cs="Arial"/>
                <w:bCs/>
                <w:sz w:val="20"/>
                <w:szCs w:val="20"/>
                <w:highlight w:val="yellow"/>
              </w:rPr>
            </w:pPr>
            <w:r w:rsidRPr="00C54ED3">
              <w:rPr>
                <w:rFonts w:eastAsia="Times New Roman" w:cs="Arial"/>
                <w:color w:val="000000"/>
                <w:sz w:val="20"/>
                <w:szCs w:val="20"/>
                <w:lang w:eastAsia="en-GB"/>
              </w:rPr>
              <w:t>72</w:t>
            </w:r>
            <w:r w:rsidRPr="00157033">
              <w:rPr>
                <w:rFonts w:eastAsia="Times New Roman" w:cs="Arial"/>
                <w:color w:val="000000"/>
                <w:sz w:val="20"/>
                <w:szCs w:val="20"/>
                <w:lang w:eastAsia="en-GB"/>
              </w:rPr>
              <w:t>*</w:t>
            </w:r>
          </w:p>
        </w:tc>
      </w:tr>
      <w:tr w:rsidR="00EB61EA" w:rsidRPr="00157033" w14:paraId="27B23679" w14:textId="77777777" w:rsidTr="00705EED">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7018DFA0" w14:textId="77777777" w:rsidR="00EB61EA" w:rsidRPr="00157033" w:rsidRDefault="00EB61EA" w:rsidP="00705EED">
            <w:pPr>
              <w:rPr>
                <w:rFonts w:eastAsia="Times New Roman" w:cs="Arial"/>
                <w:bCs/>
                <w:color w:val="000000"/>
                <w:sz w:val="20"/>
                <w:szCs w:val="20"/>
              </w:rPr>
            </w:pPr>
            <w:r w:rsidRPr="00157033">
              <w:rPr>
                <w:rFonts w:eastAsia="Times New Roman" w:cs="Arial"/>
                <w:bCs/>
                <w:color w:val="000000"/>
                <w:sz w:val="20"/>
                <w:szCs w:val="20"/>
              </w:rPr>
              <w:t>Quarter 3</w:t>
            </w:r>
          </w:p>
        </w:tc>
        <w:tc>
          <w:tcPr>
            <w:tcW w:w="917" w:type="dxa"/>
            <w:tcBorders>
              <w:top w:val="nil"/>
              <w:left w:val="nil"/>
              <w:bottom w:val="single" w:sz="4" w:space="0" w:color="000000"/>
              <w:right w:val="single" w:sz="4" w:space="0" w:color="000000"/>
            </w:tcBorders>
            <w:shd w:val="clear" w:color="auto" w:fill="auto"/>
            <w:noWrap/>
            <w:vAlign w:val="center"/>
          </w:tcPr>
          <w:p w14:paraId="0547FADC"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37</w:t>
            </w:r>
          </w:p>
        </w:tc>
        <w:tc>
          <w:tcPr>
            <w:tcW w:w="764" w:type="dxa"/>
            <w:tcBorders>
              <w:top w:val="nil"/>
              <w:left w:val="nil"/>
              <w:bottom w:val="single" w:sz="4" w:space="0" w:color="000000"/>
              <w:right w:val="single" w:sz="4" w:space="0" w:color="000000"/>
            </w:tcBorders>
            <w:shd w:val="clear" w:color="auto" w:fill="auto"/>
            <w:noWrap/>
            <w:vAlign w:val="center"/>
          </w:tcPr>
          <w:p w14:paraId="356F759B"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15</w:t>
            </w:r>
          </w:p>
        </w:tc>
        <w:tc>
          <w:tcPr>
            <w:tcW w:w="851" w:type="dxa"/>
            <w:tcBorders>
              <w:top w:val="nil"/>
              <w:left w:val="nil"/>
              <w:bottom w:val="single" w:sz="4" w:space="0" w:color="000000"/>
              <w:right w:val="single" w:sz="4" w:space="0" w:color="000000"/>
            </w:tcBorders>
            <w:shd w:val="clear" w:color="auto" w:fill="auto"/>
            <w:noWrap/>
            <w:vAlign w:val="center"/>
          </w:tcPr>
          <w:p w14:paraId="0FFF912E"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5</w:t>
            </w:r>
          </w:p>
        </w:tc>
        <w:tc>
          <w:tcPr>
            <w:tcW w:w="1134" w:type="dxa"/>
            <w:tcBorders>
              <w:top w:val="nil"/>
              <w:left w:val="nil"/>
              <w:bottom w:val="single" w:sz="4" w:space="0" w:color="000000"/>
              <w:right w:val="single" w:sz="4" w:space="0" w:color="000000"/>
            </w:tcBorders>
            <w:shd w:val="clear" w:color="auto" w:fill="auto"/>
            <w:noWrap/>
            <w:vAlign w:val="center"/>
          </w:tcPr>
          <w:p w14:paraId="5A714B54"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6</w:t>
            </w:r>
          </w:p>
        </w:tc>
        <w:tc>
          <w:tcPr>
            <w:tcW w:w="708" w:type="dxa"/>
            <w:tcBorders>
              <w:top w:val="nil"/>
              <w:left w:val="nil"/>
              <w:bottom w:val="single" w:sz="4" w:space="0" w:color="000000"/>
              <w:right w:val="single" w:sz="4" w:space="0" w:color="000000"/>
            </w:tcBorders>
            <w:shd w:val="clear" w:color="auto" w:fill="auto"/>
            <w:noWrap/>
            <w:vAlign w:val="center"/>
          </w:tcPr>
          <w:p w14:paraId="4763C981"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8</w:t>
            </w:r>
          </w:p>
        </w:tc>
        <w:tc>
          <w:tcPr>
            <w:tcW w:w="1134" w:type="dxa"/>
            <w:tcBorders>
              <w:top w:val="nil"/>
              <w:left w:val="nil"/>
              <w:bottom w:val="single" w:sz="4" w:space="0" w:color="000000"/>
              <w:right w:val="single" w:sz="4" w:space="0" w:color="000000"/>
            </w:tcBorders>
            <w:shd w:val="clear" w:color="auto" w:fill="auto"/>
            <w:noWrap/>
            <w:vAlign w:val="center"/>
          </w:tcPr>
          <w:p w14:paraId="5A363A98"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10</w:t>
            </w:r>
          </w:p>
        </w:tc>
        <w:tc>
          <w:tcPr>
            <w:tcW w:w="567" w:type="dxa"/>
            <w:tcBorders>
              <w:top w:val="nil"/>
              <w:left w:val="nil"/>
              <w:bottom w:val="single" w:sz="4" w:space="0" w:color="000000"/>
              <w:right w:val="single" w:sz="4" w:space="0" w:color="auto"/>
            </w:tcBorders>
            <w:shd w:val="clear" w:color="auto" w:fill="auto"/>
            <w:noWrap/>
            <w:vAlign w:val="center"/>
          </w:tcPr>
          <w:p w14:paraId="6D72C629"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4</w:t>
            </w:r>
          </w:p>
        </w:tc>
        <w:tc>
          <w:tcPr>
            <w:tcW w:w="851" w:type="dxa"/>
            <w:tcBorders>
              <w:top w:val="single" w:sz="4" w:space="0" w:color="auto"/>
              <w:left w:val="single" w:sz="4" w:space="0" w:color="auto"/>
              <w:bottom w:val="single" w:sz="4" w:space="0" w:color="auto"/>
              <w:right w:val="single" w:sz="4" w:space="0" w:color="000000"/>
            </w:tcBorders>
            <w:vAlign w:val="center"/>
          </w:tcPr>
          <w:p w14:paraId="67291724"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661" w:type="dxa"/>
            <w:tcBorders>
              <w:top w:val="nil"/>
              <w:left w:val="single" w:sz="4" w:space="0" w:color="auto"/>
              <w:bottom w:val="single" w:sz="4" w:space="0" w:color="000000"/>
              <w:right w:val="single" w:sz="4" w:space="0" w:color="000000"/>
            </w:tcBorders>
            <w:vAlign w:val="center"/>
          </w:tcPr>
          <w:p w14:paraId="2E69B0D9" w14:textId="77777777" w:rsidR="00EB61EA" w:rsidRPr="00157033" w:rsidRDefault="00EB61EA" w:rsidP="00705EED">
            <w:pPr>
              <w:rPr>
                <w:rFonts w:eastAsia="Times New Roman" w:cs="Arial"/>
                <w:bCs/>
                <w:sz w:val="20"/>
                <w:szCs w:val="20"/>
                <w:highlight w:val="yellow"/>
              </w:rPr>
            </w:pPr>
            <w:r w:rsidRPr="00C54ED3">
              <w:rPr>
                <w:rFonts w:eastAsia="Times New Roman" w:cs="Arial"/>
                <w:color w:val="000000"/>
                <w:sz w:val="20"/>
                <w:szCs w:val="20"/>
                <w:lang w:eastAsia="en-GB"/>
              </w:rPr>
              <w:t>85</w:t>
            </w:r>
          </w:p>
        </w:tc>
      </w:tr>
      <w:tr w:rsidR="00EB61EA" w:rsidRPr="00157033" w14:paraId="13EFA855" w14:textId="77777777" w:rsidTr="00705EED">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7AE077ED" w14:textId="77777777" w:rsidR="00EB61EA" w:rsidRPr="00157033" w:rsidRDefault="00EB61EA" w:rsidP="00705EED">
            <w:pPr>
              <w:rPr>
                <w:rFonts w:eastAsia="Times New Roman" w:cs="Arial"/>
                <w:bCs/>
                <w:color w:val="000000"/>
                <w:sz w:val="20"/>
                <w:szCs w:val="20"/>
              </w:rPr>
            </w:pPr>
            <w:r w:rsidRPr="00157033">
              <w:rPr>
                <w:rFonts w:eastAsia="Times New Roman" w:cs="Arial"/>
                <w:bCs/>
                <w:color w:val="000000"/>
                <w:sz w:val="20"/>
                <w:szCs w:val="20"/>
              </w:rPr>
              <w:t>Quarter 4</w:t>
            </w:r>
          </w:p>
        </w:tc>
        <w:tc>
          <w:tcPr>
            <w:tcW w:w="917" w:type="dxa"/>
            <w:tcBorders>
              <w:top w:val="nil"/>
              <w:left w:val="nil"/>
              <w:bottom w:val="single" w:sz="4" w:space="0" w:color="000000"/>
              <w:right w:val="single" w:sz="4" w:space="0" w:color="000000"/>
            </w:tcBorders>
            <w:shd w:val="clear" w:color="auto" w:fill="auto"/>
            <w:noWrap/>
            <w:vAlign w:val="center"/>
          </w:tcPr>
          <w:p w14:paraId="1065B33D"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39</w:t>
            </w:r>
          </w:p>
        </w:tc>
        <w:tc>
          <w:tcPr>
            <w:tcW w:w="764" w:type="dxa"/>
            <w:tcBorders>
              <w:top w:val="nil"/>
              <w:left w:val="nil"/>
              <w:bottom w:val="single" w:sz="4" w:space="0" w:color="000000"/>
              <w:right w:val="single" w:sz="4" w:space="0" w:color="000000"/>
            </w:tcBorders>
            <w:shd w:val="clear" w:color="auto" w:fill="auto"/>
            <w:noWrap/>
            <w:vAlign w:val="center"/>
          </w:tcPr>
          <w:p w14:paraId="2899F39E"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23</w:t>
            </w:r>
          </w:p>
        </w:tc>
        <w:tc>
          <w:tcPr>
            <w:tcW w:w="851" w:type="dxa"/>
            <w:tcBorders>
              <w:top w:val="nil"/>
              <w:left w:val="nil"/>
              <w:bottom w:val="single" w:sz="4" w:space="0" w:color="000000"/>
              <w:right w:val="single" w:sz="4" w:space="0" w:color="000000"/>
            </w:tcBorders>
            <w:shd w:val="clear" w:color="auto" w:fill="auto"/>
            <w:noWrap/>
            <w:vAlign w:val="center"/>
          </w:tcPr>
          <w:p w14:paraId="3523C0AD"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6</w:t>
            </w:r>
          </w:p>
        </w:tc>
        <w:tc>
          <w:tcPr>
            <w:tcW w:w="1134" w:type="dxa"/>
            <w:tcBorders>
              <w:top w:val="nil"/>
              <w:left w:val="nil"/>
              <w:bottom w:val="single" w:sz="4" w:space="0" w:color="000000"/>
              <w:right w:val="single" w:sz="4" w:space="0" w:color="000000"/>
            </w:tcBorders>
            <w:shd w:val="clear" w:color="auto" w:fill="auto"/>
            <w:noWrap/>
            <w:vAlign w:val="center"/>
          </w:tcPr>
          <w:p w14:paraId="37A3833E"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2</w:t>
            </w:r>
          </w:p>
        </w:tc>
        <w:tc>
          <w:tcPr>
            <w:tcW w:w="708" w:type="dxa"/>
            <w:tcBorders>
              <w:top w:val="nil"/>
              <w:left w:val="nil"/>
              <w:bottom w:val="single" w:sz="4" w:space="0" w:color="000000"/>
              <w:right w:val="single" w:sz="4" w:space="0" w:color="000000"/>
            </w:tcBorders>
            <w:shd w:val="clear" w:color="auto" w:fill="auto"/>
            <w:noWrap/>
            <w:vAlign w:val="center"/>
          </w:tcPr>
          <w:p w14:paraId="16EEA590"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4</w:t>
            </w:r>
          </w:p>
        </w:tc>
        <w:tc>
          <w:tcPr>
            <w:tcW w:w="1134" w:type="dxa"/>
            <w:tcBorders>
              <w:top w:val="nil"/>
              <w:left w:val="nil"/>
              <w:bottom w:val="single" w:sz="4" w:space="0" w:color="000000"/>
              <w:right w:val="single" w:sz="4" w:space="0" w:color="000000"/>
            </w:tcBorders>
            <w:shd w:val="clear" w:color="auto" w:fill="auto"/>
            <w:noWrap/>
            <w:vAlign w:val="center"/>
          </w:tcPr>
          <w:p w14:paraId="5C523617"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11</w:t>
            </w:r>
          </w:p>
        </w:tc>
        <w:tc>
          <w:tcPr>
            <w:tcW w:w="567" w:type="dxa"/>
            <w:tcBorders>
              <w:top w:val="nil"/>
              <w:left w:val="nil"/>
              <w:bottom w:val="single" w:sz="4" w:space="0" w:color="000000"/>
              <w:right w:val="single" w:sz="4" w:space="0" w:color="auto"/>
            </w:tcBorders>
            <w:shd w:val="clear" w:color="auto" w:fill="auto"/>
            <w:noWrap/>
            <w:vAlign w:val="center"/>
          </w:tcPr>
          <w:p w14:paraId="58F1F3B6"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0</w:t>
            </w:r>
          </w:p>
        </w:tc>
        <w:tc>
          <w:tcPr>
            <w:tcW w:w="851" w:type="dxa"/>
            <w:tcBorders>
              <w:top w:val="single" w:sz="4" w:space="0" w:color="auto"/>
              <w:left w:val="single" w:sz="4" w:space="0" w:color="auto"/>
              <w:bottom w:val="single" w:sz="4" w:space="0" w:color="auto"/>
              <w:right w:val="single" w:sz="4" w:space="0" w:color="000000"/>
            </w:tcBorders>
            <w:vAlign w:val="center"/>
          </w:tcPr>
          <w:p w14:paraId="551F6169"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2</w:t>
            </w:r>
          </w:p>
        </w:tc>
        <w:tc>
          <w:tcPr>
            <w:tcW w:w="661" w:type="dxa"/>
            <w:tcBorders>
              <w:top w:val="nil"/>
              <w:left w:val="single" w:sz="4" w:space="0" w:color="auto"/>
              <w:bottom w:val="single" w:sz="4" w:space="0" w:color="000000"/>
              <w:right w:val="single" w:sz="4" w:space="0" w:color="000000"/>
            </w:tcBorders>
            <w:vAlign w:val="center"/>
          </w:tcPr>
          <w:p w14:paraId="2FE8E03F" w14:textId="77777777" w:rsidR="00EB61EA" w:rsidRPr="00157033" w:rsidRDefault="00EB61EA" w:rsidP="00705EED">
            <w:pPr>
              <w:rPr>
                <w:rFonts w:eastAsia="Times New Roman" w:cs="Arial"/>
                <w:bCs/>
                <w:sz w:val="20"/>
                <w:szCs w:val="20"/>
                <w:highlight w:val="yellow"/>
              </w:rPr>
            </w:pPr>
            <w:r w:rsidRPr="00C54ED3">
              <w:rPr>
                <w:rFonts w:eastAsia="Times New Roman" w:cs="Arial"/>
                <w:color w:val="000000"/>
                <w:sz w:val="20"/>
                <w:szCs w:val="20"/>
                <w:lang w:eastAsia="en-GB"/>
              </w:rPr>
              <w:t>87</w:t>
            </w:r>
            <w:r w:rsidRPr="00157033">
              <w:rPr>
                <w:rFonts w:eastAsia="Times New Roman" w:cs="Arial"/>
                <w:color w:val="000000"/>
                <w:sz w:val="20"/>
                <w:szCs w:val="20"/>
                <w:lang w:eastAsia="en-GB"/>
              </w:rPr>
              <w:t>**</w:t>
            </w:r>
          </w:p>
        </w:tc>
      </w:tr>
      <w:tr w:rsidR="00EB61EA" w:rsidRPr="00157033" w14:paraId="0B5F189F" w14:textId="77777777" w:rsidTr="00705EED">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6C197761" w14:textId="77777777" w:rsidR="00EB61EA" w:rsidRPr="00157033" w:rsidRDefault="00EB61EA" w:rsidP="00705EED">
            <w:pPr>
              <w:rPr>
                <w:rFonts w:eastAsia="Times New Roman" w:cs="Arial"/>
                <w:b/>
                <w:bCs/>
                <w:color w:val="000000"/>
                <w:sz w:val="20"/>
                <w:szCs w:val="20"/>
              </w:rPr>
            </w:pPr>
            <w:r w:rsidRPr="00157033">
              <w:rPr>
                <w:rFonts w:eastAsia="Times New Roman" w:cs="Arial"/>
                <w:b/>
                <w:bCs/>
                <w:color w:val="000000"/>
                <w:sz w:val="20"/>
                <w:szCs w:val="20"/>
              </w:rPr>
              <w:t>2020/21 total</w:t>
            </w:r>
          </w:p>
        </w:tc>
        <w:tc>
          <w:tcPr>
            <w:tcW w:w="917" w:type="dxa"/>
            <w:tcBorders>
              <w:top w:val="nil"/>
              <w:left w:val="nil"/>
              <w:bottom w:val="single" w:sz="4" w:space="0" w:color="000000"/>
              <w:right w:val="single" w:sz="4" w:space="0" w:color="000000"/>
            </w:tcBorders>
            <w:shd w:val="clear" w:color="auto" w:fill="auto"/>
            <w:noWrap/>
            <w:vAlign w:val="center"/>
          </w:tcPr>
          <w:p w14:paraId="2805AE6A"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152</w:t>
            </w:r>
          </w:p>
        </w:tc>
        <w:tc>
          <w:tcPr>
            <w:tcW w:w="764" w:type="dxa"/>
            <w:tcBorders>
              <w:top w:val="nil"/>
              <w:left w:val="nil"/>
              <w:bottom w:val="single" w:sz="4" w:space="0" w:color="000000"/>
              <w:right w:val="single" w:sz="4" w:space="0" w:color="000000"/>
            </w:tcBorders>
            <w:shd w:val="clear" w:color="auto" w:fill="auto"/>
            <w:noWrap/>
            <w:vAlign w:val="center"/>
          </w:tcPr>
          <w:p w14:paraId="7D00DAD1"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69</w:t>
            </w:r>
          </w:p>
        </w:tc>
        <w:tc>
          <w:tcPr>
            <w:tcW w:w="851" w:type="dxa"/>
            <w:tcBorders>
              <w:top w:val="nil"/>
              <w:left w:val="nil"/>
              <w:bottom w:val="single" w:sz="4" w:space="0" w:color="000000"/>
              <w:right w:val="single" w:sz="4" w:space="0" w:color="000000"/>
            </w:tcBorders>
            <w:shd w:val="clear" w:color="auto" w:fill="auto"/>
            <w:noWrap/>
            <w:vAlign w:val="center"/>
          </w:tcPr>
          <w:p w14:paraId="24D77A9D"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26</w:t>
            </w:r>
          </w:p>
        </w:tc>
        <w:tc>
          <w:tcPr>
            <w:tcW w:w="1134" w:type="dxa"/>
            <w:tcBorders>
              <w:top w:val="nil"/>
              <w:left w:val="nil"/>
              <w:bottom w:val="single" w:sz="4" w:space="0" w:color="000000"/>
              <w:right w:val="single" w:sz="4" w:space="0" w:color="000000"/>
            </w:tcBorders>
            <w:shd w:val="clear" w:color="auto" w:fill="auto"/>
            <w:noWrap/>
            <w:vAlign w:val="center"/>
          </w:tcPr>
          <w:p w14:paraId="7987A815"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1</w:t>
            </w:r>
            <w:r w:rsidRPr="00157033">
              <w:rPr>
                <w:rFonts w:eastAsia="Times New Roman" w:cs="Arial"/>
                <w:color w:val="000000"/>
                <w:sz w:val="20"/>
                <w:szCs w:val="20"/>
                <w:lang w:eastAsia="en-GB"/>
              </w:rPr>
              <w:t>4</w:t>
            </w:r>
          </w:p>
        </w:tc>
        <w:tc>
          <w:tcPr>
            <w:tcW w:w="708" w:type="dxa"/>
            <w:tcBorders>
              <w:top w:val="nil"/>
              <w:left w:val="nil"/>
              <w:bottom w:val="single" w:sz="4" w:space="0" w:color="000000"/>
              <w:right w:val="single" w:sz="4" w:space="0" w:color="000000"/>
            </w:tcBorders>
            <w:shd w:val="clear" w:color="auto" w:fill="auto"/>
            <w:noWrap/>
            <w:vAlign w:val="center"/>
          </w:tcPr>
          <w:p w14:paraId="64481FAB"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22</w:t>
            </w:r>
          </w:p>
        </w:tc>
        <w:tc>
          <w:tcPr>
            <w:tcW w:w="1134" w:type="dxa"/>
            <w:tcBorders>
              <w:top w:val="nil"/>
              <w:left w:val="nil"/>
              <w:bottom w:val="single" w:sz="4" w:space="0" w:color="000000"/>
              <w:right w:val="single" w:sz="4" w:space="0" w:color="000000"/>
            </w:tcBorders>
            <w:shd w:val="clear" w:color="auto" w:fill="auto"/>
            <w:noWrap/>
            <w:vAlign w:val="center"/>
          </w:tcPr>
          <w:p w14:paraId="3DF3CEA5" w14:textId="77777777" w:rsidR="00EB61EA" w:rsidRPr="00157033" w:rsidRDefault="00EB61EA" w:rsidP="00705EED">
            <w:pPr>
              <w:jc w:val="center"/>
              <w:rPr>
                <w:rFonts w:eastAsia="Times New Roman" w:cs="Arial"/>
                <w:bCs/>
                <w:color w:val="000000"/>
                <w:sz w:val="20"/>
                <w:szCs w:val="20"/>
              </w:rPr>
            </w:pPr>
            <w:r w:rsidRPr="00C54ED3">
              <w:rPr>
                <w:rFonts w:eastAsia="Times New Roman" w:cs="Arial"/>
                <w:color w:val="000000"/>
                <w:sz w:val="20"/>
                <w:szCs w:val="20"/>
                <w:lang w:eastAsia="en-GB"/>
              </w:rPr>
              <w:t>48</w:t>
            </w:r>
          </w:p>
        </w:tc>
        <w:tc>
          <w:tcPr>
            <w:tcW w:w="567" w:type="dxa"/>
            <w:tcBorders>
              <w:top w:val="nil"/>
              <w:left w:val="nil"/>
              <w:bottom w:val="single" w:sz="4" w:space="0" w:color="000000"/>
              <w:right w:val="single" w:sz="4" w:space="0" w:color="auto"/>
            </w:tcBorders>
            <w:shd w:val="clear" w:color="auto" w:fill="auto"/>
            <w:noWrap/>
            <w:vAlign w:val="center"/>
          </w:tcPr>
          <w:p w14:paraId="4D4B5C85"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4</w:t>
            </w:r>
          </w:p>
        </w:tc>
        <w:tc>
          <w:tcPr>
            <w:tcW w:w="851" w:type="dxa"/>
            <w:tcBorders>
              <w:top w:val="single" w:sz="4" w:space="0" w:color="auto"/>
              <w:left w:val="single" w:sz="4" w:space="0" w:color="auto"/>
              <w:bottom w:val="single" w:sz="4" w:space="0" w:color="auto"/>
              <w:right w:val="single" w:sz="4" w:space="0" w:color="000000"/>
            </w:tcBorders>
            <w:vAlign w:val="center"/>
          </w:tcPr>
          <w:p w14:paraId="5F292638" w14:textId="77777777" w:rsidR="00EB61EA" w:rsidRPr="00157033" w:rsidRDefault="00EB61EA" w:rsidP="00705EED">
            <w:pPr>
              <w:jc w:val="center"/>
              <w:rPr>
                <w:rFonts w:eastAsia="Times New Roman" w:cs="Arial"/>
                <w:bCs/>
                <w:color w:val="000000"/>
                <w:sz w:val="20"/>
                <w:szCs w:val="20"/>
              </w:rPr>
            </w:pPr>
            <w:r w:rsidRPr="00157033">
              <w:rPr>
                <w:rFonts w:eastAsia="Times New Roman" w:cs="Arial"/>
                <w:bCs/>
                <w:color w:val="000000"/>
                <w:sz w:val="20"/>
                <w:szCs w:val="20"/>
              </w:rPr>
              <w:t>2</w:t>
            </w:r>
          </w:p>
        </w:tc>
        <w:tc>
          <w:tcPr>
            <w:tcW w:w="661" w:type="dxa"/>
            <w:tcBorders>
              <w:top w:val="nil"/>
              <w:left w:val="single" w:sz="4" w:space="0" w:color="auto"/>
              <w:bottom w:val="single" w:sz="4" w:space="0" w:color="000000"/>
              <w:right w:val="single" w:sz="4" w:space="0" w:color="000000"/>
            </w:tcBorders>
            <w:vAlign w:val="center"/>
          </w:tcPr>
          <w:p w14:paraId="48AC0C42" w14:textId="77777777" w:rsidR="00EB61EA" w:rsidRPr="00157033" w:rsidRDefault="00EB61EA" w:rsidP="00705EED">
            <w:pPr>
              <w:rPr>
                <w:rFonts w:eastAsia="Times New Roman" w:cs="Arial"/>
                <w:bCs/>
                <w:sz w:val="20"/>
                <w:szCs w:val="20"/>
                <w:highlight w:val="yellow"/>
              </w:rPr>
            </w:pPr>
            <w:r w:rsidRPr="00C54ED3">
              <w:rPr>
                <w:rFonts w:eastAsia="Times New Roman" w:cs="Arial"/>
                <w:color w:val="000000"/>
                <w:sz w:val="20"/>
                <w:szCs w:val="20"/>
                <w:lang w:eastAsia="en-GB"/>
              </w:rPr>
              <w:t>337</w:t>
            </w:r>
          </w:p>
        </w:tc>
      </w:tr>
    </w:tbl>
    <w:p w14:paraId="5A403AAA" w14:textId="77777777" w:rsidR="00EB61EA" w:rsidRPr="00386BE2" w:rsidRDefault="00EB61EA" w:rsidP="00EB61EA">
      <w:pPr>
        <w:ind w:right="-1732"/>
        <w:rPr>
          <w:noProof/>
          <w:sz w:val="18"/>
          <w:szCs w:val="18"/>
        </w:rPr>
      </w:pPr>
      <w:r w:rsidRPr="00386BE2">
        <w:rPr>
          <w:noProof/>
          <w:sz w:val="18"/>
          <w:szCs w:val="18"/>
        </w:rPr>
        <w:t xml:space="preserve">*One LD death reported to LeDeR is also undergoing an internal SJR to consider any local learning. </w:t>
      </w:r>
    </w:p>
    <w:p w14:paraId="6D1780B8" w14:textId="77777777" w:rsidR="00EB61EA" w:rsidRPr="00386BE2" w:rsidRDefault="00EB61EA" w:rsidP="00EB61EA">
      <w:pPr>
        <w:ind w:right="-1732"/>
        <w:rPr>
          <w:noProof/>
          <w:sz w:val="18"/>
          <w:szCs w:val="18"/>
          <w:highlight w:val="yellow"/>
        </w:rPr>
      </w:pPr>
      <w:r w:rsidRPr="00386BE2">
        <w:rPr>
          <w:noProof/>
          <w:sz w:val="18"/>
          <w:szCs w:val="18"/>
        </w:rPr>
        <w:t>** One LD Death reported to LeDeR is also a Serious Incident Investigation</w:t>
      </w:r>
    </w:p>
    <w:p w14:paraId="39B20170" w14:textId="77777777" w:rsidR="00EB61EA" w:rsidRDefault="00EB61EA" w:rsidP="00EB61EA">
      <w:pPr>
        <w:ind w:left="-567" w:right="-1732"/>
        <w:rPr>
          <w:noProof/>
          <w:highlight w:val="yellow"/>
        </w:rPr>
      </w:pPr>
    </w:p>
    <w:p w14:paraId="7CEE036B" w14:textId="199AF141" w:rsidR="00EB61EA" w:rsidRDefault="00EB61EA" w:rsidP="00EB61EA">
      <w:pPr>
        <w:spacing w:after="200" w:line="276" w:lineRule="auto"/>
        <w:rPr>
          <w:b/>
          <w:bCs/>
          <w:color w:val="4472C4" w:themeColor="accent1"/>
          <w:sz w:val="18"/>
          <w:szCs w:val="18"/>
        </w:rPr>
      </w:pPr>
      <w:bookmarkStart w:id="4" w:name="_Toc10195991"/>
      <w:r w:rsidRPr="00DF6332">
        <w:rPr>
          <w:rFonts w:cs="Arial"/>
          <w:sz w:val="22"/>
          <w:szCs w:val="22"/>
        </w:rPr>
        <w:t xml:space="preserve">Figure </w:t>
      </w:r>
      <w:r w:rsidR="004E4993">
        <w:rPr>
          <w:rFonts w:cs="Arial"/>
          <w:sz w:val="22"/>
          <w:szCs w:val="22"/>
        </w:rPr>
        <w:t>5</w:t>
      </w:r>
      <w:r w:rsidRPr="00DF6332">
        <w:rPr>
          <w:rFonts w:cs="Arial"/>
          <w:sz w:val="22"/>
          <w:szCs w:val="22"/>
        </w:rPr>
        <w:t xml:space="preserve"> shows the deaths </w:t>
      </w:r>
      <w:r>
        <w:rPr>
          <w:rFonts w:cs="Arial"/>
          <w:sz w:val="22"/>
          <w:szCs w:val="22"/>
        </w:rPr>
        <w:t xml:space="preserve">by </w:t>
      </w:r>
      <w:r w:rsidRPr="00DF6332">
        <w:rPr>
          <w:rFonts w:cs="Arial"/>
          <w:sz w:val="22"/>
          <w:szCs w:val="22"/>
        </w:rPr>
        <w:t>BDU and category.</w:t>
      </w:r>
      <w:r>
        <w:br w:type="page"/>
      </w:r>
    </w:p>
    <w:p w14:paraId="520628FD" w14:textId="3430C2FD" w:rsidR="00EB61EA" w:rsidRPr="001E6841" w:rsidRDefault="00EB61EA" w:rsidP="00EB61EA">
      <w:pPr>
        <w:pStyle w:val="Caption"/>
        <w:keepNext/>
      </w:pPr>
      <w:r w:rsidRPr="001E6841">
        <w:lastRenderedPageBreak/>
        <w:t xml:space="preserve">Figure </w:t>
      </w:r>
      <w:r>
        <w:fldChar w:fldCharType="begin"/>
      </w:r>
      <w:r>
        <w:instrText xml:space="preserve"> SEQ Figure \* ARABIC </w:instrText>
      </w:r>
      <w:r>
        <w:fldChar w:fldCharType="separate"/>
      </w:r>
      <w:r w:rsidR="004E4993">
        <w:rPr>
          <w:noProof/>
        </w:rPr>
        <w:t>5</w:t>
      </w:r>
      <w:r>
        <w:rPr>
          <w:noProof/>
        </w:rPr>
        <w:fldChar w:fldCharType="end"/>
      </w:r>
      <w:r w:rsidRPr="001E6841">
        <w:t xml:space="preserve"> Reported deaths by category and BDU reported during 2020/21</w:t>
      </w:r>
      <w:bookmarkEnd w:id="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
        <w:gridCol w:w="567"/>
        <w:gridCol w:w="567"/>
        <w:gridCol w:w="567"/>
        <w:gridCol w:w="567"/>
        <w:gridCol w:w="567"/>
        <w:gridCol w:w="567"/>
        <w:gridCol w:w="567"/>
        <w:gridCol w:w="567"/>
        <w:gridCol w:w="567"/>
        <w:gridCol w:w="567"/>
      </w:tblGrid>
      <w:tr w:rsidR="00EB61EA" w:rsidRPr="001E6841" w14:paraId="06808AF0" w14:textId="77777777" w:rsidTr="00705EED">
        <w:trPr>
          <w:trHeight w:val="2683"/>
          <w:jc w:val="center"/>
        </w:trPr>
        <w:tc>
          <w:tcPr>
            <w:tcW w:w="3539" w:type="dxa"/>
            <w:shd w:val="clear" w:color="auto" w:fill="B4C6E7" w:themeFill="accent1" w:themeFillTint="66"/>
            <w:noWrap/>
            <w:textDirection w:val="btLr"/>
            <w:vAlign w:val="bottom"/>
            <w:hideMark/>
          </w:tcPr>
          <w:p w14:paraId="515F5B55" w14:textId="77777777" w:rsidR="00EB61EA" w:rsidRPr="001E6841" w:rsidRDefault="00EB61EA" w:rsidP="00705EED">
            <w:pPr>
              <w:rPr>
                <w:rFonts w:eastAsia="Times New Roman" w:cs="Arial"/>
                <w:b/>
                <w:bCs/>
                <w:color w:val="000000"/>
                <w:sz w:val="20"/>
                <w:szCs w:val="20"/>
                <w:lang w:eastAsia="en-GB"/>
              </w:rPr>
            </w:pPr>
          </w:p>
        </w:tc>
        <w:tc>
          <w:tcPr>
            <w:tcW w:w="567" w:type="dxa"/>
            <w:shd w:val="clear" w:color="auto" w:fill="B4C6E7" w:themeFill="accent1" w:themeFillTint="66"/>
            <w:noWrap/>
            <w:textDirection w:val="btLr"/>
            <w:vAlign w:val="center"/>
            <w:hideMark/>
          </w:tcPr>
          <w:p w14:paraId="523FBB85"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Barnsley General Community Services</w:t>
            </w:r>
          </w:p>
        </w:tc>
        <w:tc>
          <w:tcPr>
            <w:tcW w:w="567" w:type="dxa"/>
            <w:shd w:val="clear" w:color="auto" w:fill="B4C6E7" w:themeFill="accent1" w:themeFillTint="66"/>
            <w:noWrap/>
            <w:textDirection w:val="btLr"/>
            <w:vAlign w:val="center"/>
            <w:hideMark/>
          </w:tcPr>
          <w:p w14:paraId="7209CFE1"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Barnsley Community Mental Health Services</w:t>
            </w:r>
          </w:p>
        </w:tc>
        <w:tc>
          <w:tcPr>
            <w:tcW w:w="567" w:type="dxa"/>
            <w:shd w:val="clear" w:color="auto" w:fill="B4C6E7" w:themeFill="accent1" w:themeFillTint="66"/>
            <w:noWrap/>
            <w:textDirection w:val="btLr"/>
            <w:vAlign w:val="center"/>
            <w:hideMark/>
          </w:tcPr>
          <w:p w14:paraId="7D78E086"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Calderdale Community Mental Health Services</w:t>
            </w:r>
          </w:p>
        </w:tc>
        <w:tc>
          <w:tcPr>
            <w:tcW w:w="567" w:type="dxa"/>
            <w:shd w:val="clear" w:color="auto" w:fill="B4C6E7" w:themeFill="accent1" w:themeFillTint="66"/>
            <w:noWrap/>
            <w:textDirection w:val="btLr"/>
            <w:vAlign w:val="center"/>
            <w:hideMark/>
          </w:tcPr>
          <w:p w14:paraId="214A6333"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Kirklees Community Mental Health Services</w:t>
            </w:r>
          </w:p>
        </w:tc>
        <w:tc>
          <w:tcPr>
            <w:tcW w:w="567" w:type="dxa"/>
            <w:shd w:val="clear" w:color="auto" w:fill="B4C6E7" w:themeFill="accent1" w:themeFillTint="66"/>
            <w:noWrap/>
            <w:textDirection w:val="btLr"/>
            <w:vAlign w:val="center"/>
            <w:hideMark/>
          </w:tcPr>
          <w:p w14:paraId="3DCC725F"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Wakefield Community Mental Health Services</w:t>
            </w:r>
          </w:p>
        </w:tc>
        <w:tc>
          <w:tcPr>
            <w:tcW w:w="567" w:type="dxa"/>
            <w:shd w:val="clear" w:color="auto" w:fill="B4C6E7" w:themeFill="accent1" w:themeFillTint="66"/>
            <w:noWrap/>
            <w:textDirection w:val="btLr"/>
            <w:vAlign w:val="center"/>
            <w:hideMark/>
          </w:tcPr>
          <w:p w14:paraId="674C6DFE"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Mental Health Inpatient Services</w:t>
            </w:r>
          </w:p>
        </w:tc>
        <w:tc>
          <w:tcPr>
            <w:tcW w:w="567" w:type="dxa"/>
            <w:shd w:val="clear" w:color="auto" w:fill="B4C6E7" w:themeFill="accent1" w:themeFillTint="66"/>
            <w:noWrap/>
            <w:textDirection w:val="btLr"/>
            <w:vAlign w:val="center"/>
            <w:hideMark/>
          </w:tcPr>
          <w:p w14:paraId="7A248E0C"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Forensic Service</w:t>
            </w:r>
          </w:p>
        </w:tc>
        <w:tc>
          <w:tcPr>
            <w:tcW w:w="567" w:type="dxa"/>
            <w:shd w:val="clear" w:color="auto" w:fill="B4C6E7" w:themeFill="accent1" w:themeFillTint="66"/>
            <w:textDirection w:val="btLr"/>
            <w:vAlign w:val="center"/>
          </w:tcPr>
          <w:p w14:paraId="676A6E53"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Learning Disability services</w:t>
            </w:r>
          </w:p>
        </w:tc>
        <w:tc>
          <w:tcPr>
            <w:tcW w:w="567" w:type="dxa"/>
            <w:shd w:val="clear" w:color="auto" w:fill="B4C6E7" w:themeFill="accent1" w:themeFillTint="66"/>
            <w:textDirection w:val="btLr"/>
            <w:vAlign w:val="center"/>
          </w:tcPr>
          <w:p w14:paraId="79174BAD"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CAMHS Specialist Services</w:t>
            </w:r>
          </w:p>
        </w:tc>
        <w:tc>
          <w:tcPr>
            <w:tcW w:w="567" w:type="dxa"/>
            <w:shd w:val="clear" w:color="auto" w:fill="B4C6E7" w:themeFill="accent1" w:themeFillTint="66"/>
            <w:noWrap/>
            <w:textDirection w:val="btLr"/>
            <w:vAlign w:val="center"/>
            <w:hideMark/>
          </w:tcPr>
          <w:p w14:paraId="0DBF30C6"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Trust wide (Corporate support services)</w:t>
            </w:r>
          </w:p>
        </w:tc>
        <w:tc>
          <w:tcPr>
            <w:tcW w:w="567" w:type="dxa"/>
            <w:shd w:val="clear" w:color="auto" w:fill="B4C6E7" w:themeFill="accent1" w:themeFillTint="66"/>
            <w:noWrap/>
            <w:textDirection w:val="btLr"/>
            <w:vAlign w:val="center"/>
            <w:hideMark/>
          </w:tcPr>
          <w:p w14:paraId="7ABED865"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Total</w:t>
            </w:r>
          </w:p>
        </w:tc>
      </w:tr>
      <w:tr w:rsidR="00EB61EA" w:rsidRPr="001E6841" w14:paraId="44485AF7" w14:textId="77777777" w:rsidTr="00705EED">
        <w:trPr>
          <w:trHeight w:val="300"/>
          <w:jc w:val="center"/>
        </w:trPr>
        <w:tc>
          <w:tcPr>
            <w:tcW w:w="3539" w:type="dxa"/>
            <w:shd w:val="clear" w:color="auto" w:fill="auto"/>
            <w:noWrap/>
            <w:vAlign w:val="bottom"/>
            <w:hideMark/>
          </w:tcPr>
          <w:p w14:paraId="0C5ED090"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Death - confirmed from physical/natural causes</w:t>
            </w:r>
          </w:p>
        </w:tc>
        <w:tc>
          <w:tcPr>
            <w:tcW w:w="567" w:type="dxa"/>
            <w:shd w:val="clear" w:color="auto" w:fill="auto"/>
            <w:noWrap/>
            <w:vAlign w:val="center"/>
            <w:hideMark/>
          </w:tcPr>
          <w:p w14:paraId="2C73E0B5"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7</w:t>
            </w:r>
          </w:p>
        </w:tc>
        <w:tc>
          <w:tcPr>
            <w:tcW w:w="567" w:type="dxa"/>
            <w:shd w:val="clear" w:color="auto" w:fill="auto"/>
            <w:noWrap/>
            <w:vAlign w:val="center"/>
            <w:hideMark/>
          </w:tcPr>
          <w:p w14:paraId="748042A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13</w:t>
            </w:r>
          </w:p>
        </w:tc>
        <w:tc>
          <w:tcPr>
            <w:tcW w:w="567" w:type="dxa"/>
            <w:shd w:val="clear" w:color="auto" w:fill="auto"/>
            <w:noWrap/>
            <w:vAlign w:val="center"/>
            <w:hideMark/>
          </w:tcPr>
          <w:p w14:paraId="778A5576"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31</w:t>
            </w:r>
          </w:p>
        </w:tc>
        <w:tc>
          <w:tcPr>
            <w:tcW w:w="567" w:type="dxa"/>
            <w:shd w:val="clear" w:color="auto" w:fill="auto"/>
            <w:noWrap/>
            <w:vAlign w:val="center"/>
            <w:hideMark/>
          </w:tcPr>
          <w:p w14:paraId="10FD8AAE"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41</w:t>
            </w:r>
          </w:p>
        </w:tc>
        <w:tc>
          <w:tcPr>
            <w:tcW w:w="567" w:type="dxa"/>
            <w:shd w:val="clear" w:color="auto" w:fill="auto"/>
            <w:noWrap/>
            <w:vAlign w:val="center"/>
            <w:hideMark/>
          </w:tcPr>
          <w:p w14:paraId="69BDDD9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66</w:t>
            </w:r>
          </w:p>
        </w:tc>
        <w:tc>
          <w:tcPr>
            <w:tcW w:w="567" w:type="dxa"/>
            <w:shd w:val="clear" w:color="auto" w:fill="auto"/>
            <w:noWrap/>
            <w:vAlign w:val="center"/>
            <w:hideMark/>
          </w:tcPr>
          <w:p w14:paraId="33EB0CC0"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8</w:t>
            </w:r>
          </w:p>
        </w:tc>
        <w:tc>
          <w:tcPr>
            <w:tcW w:w="567" w:type="dxa"/>
            <w:shd w:val="clear" w:color="auto" w:fill="auto"/>
            <w:noWrap/>
            <w:vAlign w:val="center"/>
            <w:hideMark/>
          </w:tcPr>
          <w:p w14:paraId="5B54F73E"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vAlign w:val="center"/>
          </w:tcPr>
          <w:p w14:paraId="659DE907"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20</w:t>
            </w:r>
          </w:p>
        </w:tc>
        <w:tc>
          <w:tcPr>
            <w:tcW w:w="567" w:type="dxa"/>
            <w:vAlign w:val="center"/>
          </w:tcPr>
          <w:p w14:paraId="760193C5"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358EF1CA"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47DEAAB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186</w:t>
            </w:r>
          </w:p>
        </w:tc>
      </w:tr>
      <w:tr w:rsidR="00EB61EA" w:rsidRPr="001E6841" w14:paraId="10A056FB" w14:textId="77777777" w:rsidTr="00705EED">
        <w:trPr>
          <w:trHeight w:val="300"/>
          <w:jc w:val="center"/>
        </w:trPr>
        <w:tc>
          <w:tcPr>
            <w:tcW w:w="3539" w:type="dxa"/>
            <w:shd w:val="clear" w:color="auto" w:fill="auto"/>
            <w:noWrap/>
            <w:vAlign w:val="bottom"/>
            <w:hideMark/>
          </w:tcPr>
          <w:p w14:paraId="26D694D1"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Death - cause of death unknown/ unexplained/ awaiting confirmation</w:t>
            </w:r>
          </w:p>
        </w:tc>
        <w:tc>
          <w:tcPr>
            <w:tcW w:w="567" w:type="dxa"/>
            <w:shd w:val="clear" w:color="auto" w:fill="auto"/>
            <w:noWrap/>
            <w:vAlign w:val="center"/>
            <w:hideMark/>
          </w:tcPr>
          <w:p w14:paraId="1117DCA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3</w:t>
            </w:r>
          </w:p>
        </w:tc>
        <w:tc>
          <w:tcPr>
            <w:tcW w:w="567" w:type="dxa"/>
            <w:shd w:val="clear" w:color="auto" w:fill="auto"/>
            <w:noWrap/>
            <w:vAlign w:val="center"/>
            <w:hideMark/>
          </w:tcPr>
          <w:p w14:paraId="5B7904DA"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11</w:t>
            </w:r>
          </w:p>
        </w:tc>
        <w:tc>
          <w:tcPr>
            <w:tcW w:w="567" w:type="dxa"/>
            <w:shd w:val="clear" w:color="auto" w:fill="auto"/>
            <w:noWrap/>
            <w:vAlign w:val="center"/>
            <w:hideMark/>
          </w:tcPr>
          <w:p w14:paraId="4CBC07A5"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10</w:t>
            </w:r>
          </w:p>
        </w:tc>
        <w:tc>
          <w:tcPr>
            <w:tcW w:w="567" w:type="dxa"/>
            <w:shd w:val="clear" w:color="auto" w:fill="auto"/>
            <w:noWrap/>
            <w:vAlign w:val="center"/>
            <w:hideMark/>
          </w:tcPr>
          <w:p w14:paraId="647E26B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24</w:t>
            </w:r>
          </w:p>
        </w:tc>
        <w:tc>
          <w:tcPr>
            <w:tcW w:w="567" w:type="dxa"/>
            <w:shd w:val="clear" w:color="auto" w:fill="auto"/>
            <w:noWrap/>
            <w:vAlign w:val="center"/>
            <w:hideMark/>
          </w:tcPr>
          <w:p w14:paraId="56A0629E"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12</w:t>
            </w:r>
          </w:p>
        </w:tc>
        <w:tc>
          <w:tcPr>
            <w:tcW w:w="567" w:type="dxa"/>
            <w:shd w:val="clear" w:color="auto" w:fill="auto"/>
            <w:noWrap/>
            <w:vAlign w:val="center"/>
            <w:hideMark/>
          </w:tcPr>
          <w:p w14:paraId="61F43850"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3</w:t>
            </w:r>
          </w:p>
        </w:tc>
        <w:tc>
          <w:tcPr>
            <w:tcW w:w="567" w:type="dxa"/>
            <w:shd w:val="clear" w:color="auto" w:fill="auto"/>
            <w:noWrap/>
            <w:vAlign w:val="center"/>
            <w:hideMark/>
          </w:tcPr>
          <w:p w14:paraId="71214AFF"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vAlign w:val="center"/>
          </w:tcPr>
          <w:p w14:paraId="2547151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14</w:t>
            </w:r>
          </w:p>
        </w:tc>
        <w:tc>
          <w:tcPr>
            <w:tcW w:w="567" w:type="dxa"/>
            <w:vAlign w:val="center"/>
          </w:tcPr>
          <w:p w14:paraId="33010852"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49A8FA05"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728C6F8D"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80</w:t>
            </w:r>
          </w:p>
        </w:tc>
      </w:tr>
      <w:tr w:rsidR="00EB61EA" w:rsidRPr="001E6841" w14:paraId="34AECB21" w14:textId="77777777" w:rsidTr="00705EED">
        <w:trPr>
          <w:trHeight w:val="300"/>
          <w:jc w:val="center"/>
        </w:trPr>
        <w:tc>
          <w:tcPr>
            <w:tcW w:w="3539" w:type="dxa"/>
            <w:shd w:val="clear" w:color="auto" w:fill="auto"/>
            <w:noWrap/>
            <w:vAlign w:val="bottom"/>
            <w:hideMark/>
          </w:tcPr>
          <w:p w14:paraId="72359E3E"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Death - confirmed from infection</w:t>
            </w:r>
          </w:p>
        </w:tc>
        <w:tc>
          <w:tcPr>
            <w:tcW w:w="567" w:type="dxa"/>
            <w:shd w:val="clear" w:color="auto" w:fill="auto"/>
            <w:noWrap/>
            <w:vAlign w:val="center"/>
            <w:hideMark/>
          </w:tcPr>
          <w:p w14:paraId="0E04A02C"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62815DF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17FEF6D2"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w:t>
            </w:r>
          </w:p>
        </w:tc>
        <w:tc>
          <w:tcPr>
            <w:tcW w:w="567" w:type="dxa"/>
            <w:shd w:val="clear" w:color="auto" w:fill="auto"/>
            <w:noWrap/>
            <w:vAlign w:val="center"/>
            <w:hideMark/>
          </w:tcPr>
          <w:p w14:paraId="2B4F9634"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8</w:t>
            </w:r>
          </w:p>
        </w:tc>
        <w:tc>
          <w:tcPr>
            <w:tcW w:w="567" w:type="dxa"/>
            <w:shd w:val="clear" w:color="auto" w:fill="auto"/>
            <w:noWrap/>
            <w:vAlign w:val="center"/>
            <w:hideMark/>
          </w:tcPr>
          <w:p w14:paraId="27422069"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7</w:t>
            </w:r>
          </w:p>
        </w:tc>
        <w:tc>
          <w:tcPr>
            <w:tcW w:w="567" w:type="dxa"/>
            <w:shd w:val="clear" w:color="auto" w:fill="auto"/>
            <w:noWrap/>
            <w:vAlign w:val="center"/>
            <w:hideMark/>
          </w:tcPr>
          <w:p w14:paraId="2EE2159E"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32640E17"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437D4AF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10</w:t>
            </w:r>
          </w:p>
        </w:tc>
        <w:tc>
          <w:tcPr>
            <w:tcW w:w="567" w:type="dxa"/>
            <w:vAlign w:val="center"/>
          </w:tcPr>
          <w:p w14:paraId="38B1D1ED"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18CF5607"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652417B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28</w:t>
            </w:r>
          </w:p>
        </w:tc>
      </w:tr>
      <w:tr w:rsidR="00EB61EA" w:rsidRPr="001E6841" w14:paraId="5EB781D6" w14:textId="77777777" w:rsidTr="00705EED">
        <w:trPr>
          <w:trHeight w:val="300"/>
          <w:jc w:val="center"/>
        </w:trPr>
        <w:tc>
          <w:tcPr>
            <w:tcW w:w="3539" w:type="dxa"/>
            <w:shd w:val="clear" w:color="auto" w:fill="auto"/>
            <w:noWrap/>
            <w:vAlign w:val="bottom"/>
            <w:hideMark/>
          </w:tcPr>
          <w:p w14:paraId="30B3904C"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Suicide (apparent) - community team care - current episode</w:t>
            </w:r>
          </w:p>
        </w:tc>
        <w:tc>
          <w:tcPr>
            <w:tcW w:w="567" w:type="dxa"/>
            <w:shd w:val="clear" w:color="auto" w:fill="auto"/>
            <w:noWrap/>
            <w:vAlign w:val="center"/>
            <w:hideMark/>
          </w:tcPr>
          <w:p w14:paraId="73B38F3E"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4A8B435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10</w:t>
            </w:r>
          </w:p>
        </w:tc>
        <w:tc>
          <w:tcPr>
            <w:tcW w:w="567" w:type="dxa"/>
            <w:shd w:val="clear" w:color="auto" w:fill="auto"/>
            <w:noWrap/>
            <w:vAlign w:val="center"/>
            <w:hideMark/>
          </w:tcPr>
          <w:p w14:paraId="5BA370B1"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w:t>
            </w:r>
          </w:p>
        </w:tc>
        <w:tc>
          <w:tcPr>
            <w:tcW w:w="567" w:type="dxa"/>
            <w:shd w:val="clear" w:color="auto" w:fill="auto"/>
            <w:noWrap/>
            <w:vAlign w:val="center"/>
            <w:hideMark/>
          </w:tcPr>
          <w:p w14:paraId="28271B75"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8</w:t>
            </w:r>
          </w:p>
        </w:tc>
        <w:tc>
          <w:tcPr>
            <w:tcW w:w="567" w:type="dxa"/>
            <w:shd w:val="clear" w:color="auto" w:fill="auto"/>
            <w:noWrap/>
            <w:vAlign w:val="center"/>
            <w:hideMark/>
          </w:tcPr>
          <w:p w14:paraId="7F55133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5</w:t>
            </w:r>
          </w:p>
        </w:tc>
        <w:tc>
          <w:tcPr>
            <w:tcW w:w="567" w:type="dxa"/>
            <w:shd w:val="clear" w:color="auto" w:fill="auto"/>
            <w:noWrap/>
            <w:vAlign w:val="center"/>
            <w:hideMark/>
          </w:tcPr>
          <w:p w14:paraId="7DCF42A0"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133BFAED"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7F1600E1"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0A2CAD14"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6EF89D1F"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52B0ABB1"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26</w:t>
            </w:r>
          </w:p>
        </w:tc>
      </w:tr>
      <w:tr w:rsidR="00EB61EA" w:rsidRPr="001E6841" w14:paraId="4A0B2B7D" w14:textId="77777777" w:rsidTr="00705EED">
        <w:trPr>
          <w:trHeight w:val="300"/>
          <w:jc w:val="center"/>
        </w:trPr>
        <w:tc>
          <w:tcPr>
            <w:tcW w:w="3539" w:type="dxa"/>
            <w:shd w:val="clear" w:color="auto" w:fill="auto"/>
            <w:noWrap/>
            <w:vAlign w:val="bottom"/>
            <w:hideMark/>
          </w:tcPr>
          <w:p w14:paraId="40FCD518"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Suicide (apparent) - community team care - discharged</w:t>
            </w:r>
          </w:p>
        </w:tc>
        <w:tc>
          <w:tcPr>
            <w:tcW w:w="567" w:type="dxa"/>
            <w:shd w:val="clear" w:color="auto" w:fill="auto"/>
            <w:noWrap/>
            <w:vAlign w:val="center"/>
            <w:hideMark/>
          </w:tcPr>
          <w:p w14:paraId="3E87D834"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7C7E1E99"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D68E060"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4</w:t>
            </w:r>
          </w:p>
        </w:tc>
        <w:tc>
          <w:tcPr>
            <w:tcW w:w="567" w:type="dxa"/>
            <w:shd w:val="clear" w:color="auto" w:fill="auto"/>
            <w:noWrap/>
            <w:vAlign w:val="center"/>
            <w:hideMark/>
          </w:tcPr>
          <w:p w14:paraId="0B74820B"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3</w:t>
            </w:r>
          </w:p>
        </w:tc>
        <w:tc>
          <w:tcPr>
            <w:tcW w:w="567" w:type="dxa"/>
            <w:shd w:val="clear" w:color="auto" w:fill="auto"/>
            <w:noWrap/>
            <w:vAlign w:val="center"/>
            <w:hideMark/>
          </w:tcPr>
          <w:p w14:paraId="0FAD9832"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w:t>
            </w:r>
          </w:p>
        </w:tc>
        <w:tc>
          <w:tcPr>
            <w:tcW w:w="567" w:type="dxa"/>
            <w:shd w:val="clear" w:color="auto" w:fill="auto"/>
            <w:noWrap/>
            <w:vAlign w:val="center"/>
            <w:hideMark/>
          </w:tcPr>
          <w:p w14:paraId="11B4727C"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5298BAFD"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484A61BD"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vAlign w:val="center"/>
          </w:tcPr>
          <w:p w14:paraId="689463BA"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1FC2CF22"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F9108CC"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10</w:t>
            </w:r>
          </w:p>
        </w:tc>
      </w:tr>
      <w:tr w:rsidR="00EB61EA" w:rsidRPr="001E6841" w14:paraId="4D6ABBE2" w14:textId="77777777" w:rsidTr="00705EED">
        <w:trPr>
          <w:trHeight w:val="300"/>
          <w:jc w:val="center"/>
        </w:trPr>
        <w:tc>
          <w:tcPr>
            <w:tcW w:w="3539" w:type="dxa"/>
            <w:shd w:val="clear" w:color="auto" w:fill="auto"/>
            <w:noWrap/>
            <w:vAlign w:val="bottom"/>
            <w:hideMark/>
          </w:tcPr>
          <w:p w14:paraId="299028C9"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Suicide (apparent) - inpatient care - current episode</w:t>
            </w:r>
          </w:p>
        </w:tc>
        <w:tc>
          <w:tcPr>
            <w:tcW w:w="567" w:type="dxa"/>
            <w:shd w:val="clear" w:color="auto" w:fill="auto"/>
            <w:noWrap/>
            <w:vAlign w:val="center"/>
            <w:hideMark/>
          </w:tcPr>
          <w:p w14:paraId="1A7980B6"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424B89DA"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66F451D3"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45F3FF7E"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3C9D5792"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7B354ADC"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w:t>
            </w:r>
          </w:p>
        </w:tc>
        <w:tc>
          <w:tcPr>
            <w:tcW w:w="567" w:type="dxa"/>
            <w:shd w:val="clear" w:color="auto" w:fill="auto"/>
            <w:noWrap/>
            <w:vAlign w:val="center"/>
            <w:hideMark/>
          </w:tcPr>
          <w:p w14:paraId="4685DD6C"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vAlign w:val="center"/>
          </w:tcPr>
          <w:p w14:paraId="188C49AF"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58F3830F"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10F7B10A"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94F9744"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2</w:t>
            </w:r>
          </w:p>
        </w:tc>
      </w:tr>
      <w:tr w:rsidR="00EB61EA" w:rsidRPr="001E6841" w14:paraId="1CF04601" w14:textId="77777777" w:rsidTr="00705EED">
        <w:trPr>
          <w:trHeight w:val="300"/>
          <w:jc w:val="center"/>
        </w:trPr>
        <w:tc>
          <w:tcPr>
            <w:tcW w:w="3539" w:type="dxa"/>
            <w:shd w:val="clear" w:color="auto" w:fill="auto"/>
            <w:noWrap/>
            <w:vAlign w:val="bottom"/>
            <w:hideMark/>
          </w:tcPr>
          <w:p w14:paraId="12B69F14"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Slip, trip or fall - patient</w:t>
            </w:r>
          </w:p>
        </w:tc>
        <w:tc>
          <w:tcPr>
            <w:tcW w:w="567" w:type="dxa"/>
            <w:shd w:val="clear" w:color="auto" w:fill="auto"/>
            <w:noWrap/>
            <w:vAlign w:val="center"/>
            <w:hideMark/>
          </w:tcPr>
          <w:p w14:paraId="03016ACE"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686B1E93"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7080E104"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1B4551B6"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4D5C8550"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717331DD"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6B4CE963"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vAlign w:val="center"/>
          </w:tcPr>
          <w:p w14:paraId="00A26FC8"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72A70606"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C9F0121"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4AFB120C"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r>
      <w:tr w:rsidR="00EB61EA" w:rsidRPr="001E6841" w14:paraId="1AF7FE12" w14:textId="77777777" w:rsidTr="00705EED">
        <w:trPr>
          <w:trHeight w:val="300"/>
          <w:jc w:val="center"/>
        </w:trPr>
        <w:tc>
          <w:tcPr>
            <w:tcW w:w="3539" w:type="dxa"/>
            <w:shd w:val="clear" w:color="auto" w:fill="auto"/>
            <w:noWrap/>
            <w:vAlign w:val="bottom"/>
            <w:hideMark/>
          </w:tcPr>
          <w:p w14:paraId="48BA6091"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Death - confirmed related to substance misuse (drug and/or alcohol)</w:t>
            </w:r>
          </w:p>
        </w:tc>
        <w:tc>
          <w:tcPr>
            <w:tcW w:w="567" w:type="dxa"/>
            <w:shd w:val="clear" w:color="auto" w:fill="auto"/>
            <w:noWrap/>
            <w:vAlign w:val="center"/>
            <w:hideMark/>
          </w:tcPr>
          <w:p w14:paraId="31176A1A"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6A4E2F99"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5484FDB6"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0D0615FF"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3D869A2C"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6FD56F36"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6A1853AA"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424E9413"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5B936548"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40A166D4"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AF2AD88"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r>
      <w:tr w:rsidR="00EB61EA" w:rsidRPr="001E6841" w14:paraId="3F0015AA" w14:textId="77777777" w:rsidTr="00705EED">
        <w:trPr>
          <w:trHeight w:val="300"/>
          <w:jc w:val="center"/>
        </w:trPr>
        <w:tc>
          <w:tcPr>
            <w:tcW w:w="3539" w:type="dxa"/>
            <w:shd w:val="clear" w:color="auto" w:fill="auto"/>
            <w:noWrap/>
            <w:vAlign w:val="bottom"/>
            <w:hideMark/>
          </w:tcPr>
          <w:p w14:paraId="36DAACD7" w14:textId="77777777" w:rsidR="00EB61EA" w:rsidRPr="001E6841" w:rsidRDefault="00EB61EA" w:rsidP="00705EED">
            <w:pPr>
              <w:rPr>
                <w:rFonts w:eastAsia="Times New Roman" w:cs="Arial"/>
                <w:color w:val="000000"/>
                <w:sz w:val="20"/>
                <w:szCs w:val="20"/>
                <w:lang w:eastAsia="en-GB"/>
              </w:rPr>
            </w:pPr>
            <w:r w:rsidRPr="001E6841">
              <w:rPr>
                <w:rFonts w:eastAsia="Times New Roman" w:cs="Arial"/>
                <w:color w:val="000000"/>
                <w:sz w:val="20"/>
                <w:szCs w:val="20"/>
                <w:lang w:eastAsia="en-GB"/>
              </w:rPr>
              <w:t>Death of service user by homicide (alleged or actual)</w:t>
            </w:r>
          </w:p>
        </w:tc>
        <w:tc>
          <w:tcPr>
            <w:tcW w:w="567" w:type="dxa"/>
            <w:shd w:val="clear" w:color="auto" w:fill="auto"/>
            <w:noWrap/>
            <w:vAlign w:val="center"/>
            <w:hideMark/>
          </w:tcPr>
          <w:p w14:paraId="7E2585B3"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00871CD1"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5A6929E8"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0F799B07"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c>
          <w:tcPr>
            <w:tcW w:w="567" w:type="dxa"/>
            <w:shd w:val="clear" w:color="auto" w:fill="auto"/>
            <w:noWrap/>
            <w:vAlign w:val="center"/>
            <w:hideMark/>
          </w:tcPr>
          <w:p w14:paraId="473D1024" w14:textId="77777777" w:rsidR="00EB61EA" w:rsidRPr="001E6841" w:rsidRDefault="00EB61EA" w:rsidP="00705EED">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567" w:type="dxa"/>
            <w:shd w:val="clear" w:color="auto" w:fill="auto"/>
            <w:noWrap/>
            <w:vAlign w:val="center"/>
            <w:hideMark/>
          </w:tcPr>
          <w:p w14:paraId="0CA1228D"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1CB73D29"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3CB221BD"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vAlign w:val="center"/>
          </w:tcPr>
          <w:p w14:paraId="18C53351"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604E743A" w14:textId="77777777" w:rsidR="00EB61EA" w:rsidRPr="001E6841" w:rsidRDefault="00EB61EA" w:rsidP="00705EED">
            <w:pPr>
              <w:jc w:val="center"/>
              <w:rPr>
                <w:rFonts w:eastAsia="Times New Roman" w:cs="Arial"/>
                <w:sz w:val="20"/>
                <w:szCs w:val="20"/>
                <w:lang w:eastAsia="en-GB"/>
              </w:rPr>
            </w:pPr>
            <w:r>
              <w:rPr>
                <w:rFonts w:eastAsia="Times New Roman" w:cs="Arial"/>
                <w:sz w:val="20"/>
                <w:szCs w:val="20"/>
                <w:lang w:eastAsia="en-GB"/>
              </w:rPr>
              <w:t>0</w:t>
            </w:r>
          </w:p>
        </w:tc>
        <w:tc>
          <w:tcPr>
            <w:tcW w:w="567" w:type="dxa"/>
            <w:shd w:val="clear" w:color="auto" w:fill="auto"/>
            <w:noWrap/>
            <w:vAlign w:val="center"/>
            <w:hideMark/>
          </w:tcPr>
          <w:p w14:paraId="3CCDD20D" w14:textId="77777777" w:rsidR="00EB61EA" w:rsidRPr="001E6841" w:rsidRDefault="00EB61EA" w:rsidP="00705EED">
            <w:pPr>
              <w:jc w:val="center"/>
              <w:rPr>
                <w:rFonts w:eastAsia="Times New Roman" w:cs="Arial"/>
                <w:color w:val="000000"/>
                <w:sz w:val="20"/>
                <w:szCs w:val="20"/>
                <w:lang w:eastAsia="en-GB"/>
              </w:rPr>
            </w:pPr>
            <w:r w:rsidRPr="001E6841">
              <w:rPr>
                <w:rFonts w:eastAsia="Times New Roman" w:cs="Arial"/>
                <w:color w:val="000000"/>
                <w:sz w:val="20"/>
                <w:szCs w:val="20"/>
                <w:lang w:eastAsia="en-GB"/>
              </w:rPr>
              <w:t>1</w:t>
            </w:r>
          </w:p>
        </w:tc>
      </w:tr>
      <w:tr w:rsidR="00EB61EA" w:rsidRPr="001E6841" w14:paraId="40B95F25" w14:textId="77777777" w:rsidTr="00705EED">
        <w:trPr>
          <w:trHeight w:val="300"/>
          <w:jc w:val="center"/>
        </w:trPr>
        <w:tc>
          <w:tcPr>
            <w:tcW w:w="3539" w:type="dxa"/>
            <w:shd w:val="clear" w:color="auto" w:fill="auto"/>
            <w:noWrap/>
            <w:vAlign w:val="bottom"/>
            <w:hideMark/>
          </w:tcPr>
          <w:p w14:paraId="014BE58A" w14:textId="77777777" w:rsidR="00EB61EA" w:rsidRPr="001E6841" w:rsidRDefault="00EB61EA" w:rsidP="00705EED">
            <w:pPr>
              <w:rPr>
                <w:rFonts w:eastAsia="Times New Roman" w:cs="Arial"/>
                <w:b/>
                <w:bCs/>
                <w:color w:val="000000"/>
                <w:sz w:val="20"/>
                <w:szCs w:val="20"/>
                <w:lang w:eastAsia="en-GB"/>
              </w:rPr>
            </w:pPr>
            <w:r w:rsidRPr="001E6841">
              <w:rPr>
                <w:rFonts w:eastAsia="Times New Roman" w:cs="Arial"/>
                <w:b/>
                <w:bCs/>
                <w:color w:val="000000"/>
                <w:sz w:val="20"/>
                <w:szCs w:val="20"/>
                <w:lang w:eastAsia="en-GB"/>
              </w:rPr>
              <w:t>Total</w:t>
            </w:r>
          </w:p>
        </w:tc>
        <w:tc>
          <w:tcPr>
            <w:tcW w:w="567" w:type="dxa"/>
            <w:shd w:val="clear" w:color="auto" w:fill="auto"/>
            <w:noWrap/>
            <w:vAlign w:val="center"/>
            <w:hideMark/>
          </w:tcPr>
          <w:p w14:paraId="57B19D3F"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11</w:t>
            </w:r>
          </w:p>
        </w:tc>
        <w:tc>
          <w:tcPr>
            <w:tcW w:w="567" w:type="dxa"/>
            <w:shd w:val="clear" w:color="auto" w:fill="auto"/>
            <w:noWrap/>
            <w:vAlign w:val="center"/>
            <w:hideMark/>
          </w:tcPr>
          <w:p w14:paraId="53EA69FB"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35</w:t>
            </w:r>
          </w:p>
        </w:tc>
        <w:tc>
          <w:tcPr>
            <w:tcW w:w="567" w:type="dxa"/>
            <w:shd w:val="clear" w:color="auto" w:fill="auto"/>
            <w:noWrap/>
            <w:vAlign w:val="center"/>
            <w:hideMark/>
          </w:tcPr>
          <w:p w14:paraId="62F09D4B"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50</w:t>
            </w:r>
          </w:p>
        </w:tc>
        <w:tc>
          <w:tcPr>
            <w:tcW w:w="567" w:type="dxa"/>
            <w:shd w:val="clear" w:color="auto" w:fill="auto"/>
            <w:noWrap/>
            <w:vAlign w:val="center"/>
            <w:hideMark/>
          </w:tcPr>
          <w:p w14:paraId="43CF41A7"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85</w:t>
            </w:r>
          </w:p>
        </w:tc>
        <w:tc>
          <w:tcPr>
            <w:tcW w:w="567" w:type="dxa"/>
            <w:shd w:val="clear" w:color="auto" w:fill="auto"/>
            <w:noWrap/>
            <w:vAlign w:val="center"/>
            <w:hideMark/>
          </w:tcPr>
          <w:p w14:paraId="011683BB"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92</w:t>
            </w:r>
          </w:p>
        </w:tc>
        <w:tc>
          <w:tcPr>
            <w:tcW w:w="567" w:type="dxa"/>
            <w:shd w:val="clear" w:color="auto" w:fill="auto"/>
            <w:noWrap/>
            <w:vAlign w:val="center"/>
            <w:hideMark/>
          </w:tcPr>
          <w:p w14:paraId="57C84B2A"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14</w:t>
            </w:r>
          </w:p>
        </w:tc>
        <w:tc>
          <w:tcPr>
            <w:tcW w:w="567" w:type="dxa"/>
            <w:shd w:val="clear" w:color="auto" w:fill="auto"/>
            <w:noWrap/>
            <w:vAlign w:val="center"/>
            <w:hideMark/>
          </w:tcPr>
          <w:p w14:paraId="39F866DF"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1</w:t>
            </w:r>
          </w:p>
        </w:tc>
        <w:tc>
          <w:tcPr>
            <w:tcW w:w="567" w:type="dxa"/>
            <w:shd w:val="clear" w:color="auto" w:fill="auto"/>
            <w:vAlign w:val="center"/>
          </w:tcPr>
          <w:p w14:paraId="098F4B70"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44</w:t>
            </w:r>
          </w:p>
        </w:tc>
        <w:tc>
          <w:tcPr>
            <w:tcW w:w="567" w:type="dxa"/>
            <w:shd w:val="clear" w:color="auto" w:fill="auto"/>
            <w:vAlign w:val="center"/>
          </w:tcPr>
          <w:p w14:paraId="594DB3AB"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2</w:t>
            </w:r>
          </w:p>
        </w:tc>
        <w:tc>
          <w:tcPr>
            <w:tcW w:w="567" w:type="dxa"/>
            <w:shd w:val="clear" w:color="auto" w:fill="auto"/>
            <w:noWrap/>
            <w:vAlign w:val="center"/>
            <w:hideMark/>
          </w:tcPr>
          <w:p w14:paraId="14F298DD"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1</w:t>
            </w:r>
          </w:p>
        </w:tc>
        <w:tc>
          <w:tcPr>
            <w:tcW w:w="567" w:type="dxa"/>
            <w:shd w:val="clear" w:color="auto" w:fill="auto"/>
            <w:noWrap/>
            <w:vAlign w:val="center"/>
            <w:hideMark/>
          </w:tcPr>
          <w:p w14:paraId="39DF25C9" w14:textId="77777777" w:rsidR="00EB61EA" w:rsidRPr="001E6841" w:rsidRDefault="00EB61EA" w:rsidP="00705EED">
            <w:pPr>
              <w:jc w:val="center"/>
              <w:rPr>
                <w:rFonts w:eastAsia="Times New Roman" w:cs="Arial"/>
                <w:b/>
                <w:bCs/>
                <w:color w:val="000000"/>
                <w:sz w:val="20"/>
                <w:szCs w:val="20"/>
                <w:lang w:eastAsia="en-GB"/>
              </w:rPr>
            </w:pPr>
            <w:r w:rsidRPr="001E6841">
              <w:rPr>
                <w:rFonts w:eastAsia="Times New Roman" w:cs="Arial"/>
                <w:b/>
                <w:bCs/>
                <w:color w:val="000000"/>
                <w:sz w:val="20"/>
                <w:szCs w:val="20"/>
                <w:lang w:eastAsia="en-GB"/>
              </w:rPr>
              <w:t>335</w:t>
            </w:r>
          </w:p>
        </w:tc>
      </w:tr>
    </w:tbl>
    <w:p w14:paraId="2283E117" w14:textId="77777777" w:rsidR="00EB61EA" w:rsidRPr="00575080" w:rsidRDefault="00EB61EA" w:rsidP="00EB61EA">
      <w:pPr>
        <w:pStyle w:val="Default"/>
        <w:jc w:val="both"/>
        <w:rPr>
          <w:color w:val="auto"/>
          <w:sz w:val="22"/>
          <w:szCs w:val="22"/>
          <w:highlight w:val="yellow"/>
        </w:rPr>
      </w:pPr>
    </w:p>
    <w:p w14:paraId="385EF03F" w14:textId="16CB496E" w:rsidR="00EB61EA" w:rsidRPr="002D1EB4" w:rsidRDefault="00EB61EA" w:rsidP="00EB61EA">
      <w:pPr>
        <w:spacing w:line="276" w:lineRule="auto"/>
        <w:jc w:val="both"/>
        <w:rPr>
          <w:rFonts w:cs="Arial"/>
          <w:b/>
          <w:color w:val="0070C0"/>
          <w:sz w:val="22"/>
          <w:szCs w:val="22"/>
        </w:rPr>
      </w:pPr>
      <w:r w:rsidRPr="002D1EB4">
        <w:rPr>
          <w:rFonts w:cs="Arial"/>
          <w:b/>
          <w:color w:val="0070C0"/>
          <w:sz w:val="22"/>
          <w:szCs w:val="22"/>
        </w:rPr>
        <w:t>Deaths reported as S</w:t>
      </w:r>
      <w:r w:rsidR="004E4993">
        <w:rPr>
          <w:rFonts w:cs="Arial"/>
          <w:b/>
          <w:color w:val="0070C0"/>
          <w:sz w:val="22"/>
          <w:szCs w:val="22"/>
        </w:rPr>
        <w:t xml:space="preserve">erious </w:t>
      </w:r>
      <w:r w:rsidRPr="002D1EB4">
        <w:rPr>
          <w:rFonts w:cs="Arial"/>
          <w:b/>
          <w:color w:val="0070C0"/>
          <w:sz w:val="22"/>
          <w:szCs w:val="22"/>
        </w:rPr>
        <w:t>I</w:t>
      </w:r>
      <w:r w:rsidR="004E4993">
        <w:rPr>
          <w:rFonts w:cs="Arial"/>
          <w:b/>
          <w:color w:val="0070C0"/>
          <w:sz w:val="22"/>
          <w:szCs w:val="22"/>
        </w:rPr>
        <w:t>ncidents</w:t>
      </w:r>
      <w:r w:rsidRPr="002D1EB4">
        <w:rPr>
          <w:rFonts w:cs="Arial"/>
          <w:b/>
          <w:color w:val="0070C0"/>
          <w:sz w:val="22"/>
          <w:szCs w:val="22"/>
        </w:rPr>
        <w:t xml:space="preserve"> </w:t>
      </w:r>
    </w:p>
    <w:p w14:paraId="2D335FE7" w14:textId="77777777" w:rsidR="00EB61EA" w:rsidRPr="002D1EB4" w:rsidRDefault="00EB61EA" w:rsidP="00EB61EA">
      <w:pPr>
        <w:spacing w:after="200"/>
        <w:jc w:val="both"/>
        <w:rPr>
          <w:rFonts w:cs="Arial"/>
          <w:sz w:val="22"/>
          <w:szCs w:val="22"/>
        </w:rPr>
      </w:pPr>
      <w:r w:rsidRPr="002D1EB4">
        <w:rPr>
          <w:rFonts w:cs="Arial"/>
          <w:sz w:val="22"/>
          <w:szCs w:val="22"/>
        </w:rPr>
        <w:t xml:space="preserve">Of the 335 in scope deaths reported on Datix between 1 April 2020 and 31 March 2021, 22 were reported as serious incidents. </w:t>
      </w:r>
    </w:p>
    <w:p w14:paraId="26F2F18B" w14:textId="6F60713C" w:rsidR="00EB61EA" w:rsidRPr="002D1EB4" w:rsidRDefault="00EB61EA" w:rsidP="00EB61EA">
      <w:pPr>
        <w:spacing w:after="200"/>
        <w:jc w:val="both"/>
        <w:rPr>
          <w:rFonts w:cs="Arial"/>
          <w:sz w:val="22"/>
          <w:szCs w:val="22"/>
        </w:rPr>
      </w:pPr>
      <w:r w:rsidRPr="002D1EB4">
        <w:rPr>
          <w:rFonts w:cs="Arial"/>
          <w:sz w:val="22"/>
          <w:szCs w:val="22"/>
        </w:rPr>
        <w:t xml:space="preserve">Please note this figure will not necessarily match those reported in the </w:t>
      </w:r>
      <w:r w:rsidR="004E4993">
        <w:rPr>
          <w:rFonts w:cs="Arial"/>
          <w:sz w:val="22"/>
          <w:szCs w:val="22"/>
        </w:rPr>
        <w:t xml:space="preserve">annual incident </w:t>
      </w:r>
      <w:r w:rsidRPr="002D1EB4">
        <w:rPr>
          <w:rFonts w:cs="Arial"/>
          <w:sz w:val="22"/>
          <w:szCs w:val="22"/>
        </w:rPr>
        <w:t>report due to the use of different dates for different processes (Serious incident reporting uses date reported on STEIS; mortality uses date reported on Datix).</w:t>
      </w:r>
    </w:p>
    <w:p w14:paraId="5129260E" w14:textId="77777777" w:rsidR="00EB61EA" w:rsidRPr="00157033" w:rsidRDefault="00EB61EA" w:rsidP="00EB61EA">
      <w:pPr>
        <w:spacing w:line="276" w:lineRule="auto"/>
        <w:jc w:val="both"/>
        <w:rPr>
          <w:rFonts w:cs="Arial"/>
          <w:b/>
          <w:color w:val="0070C0"/>
          <w:sz w:val="22"/>
          <w:szCs w:val="22"/>
        </w:rPr>
      </w:pPr>
      <w:r w:rsidRPr="00157033">
        <w:rPr>
          <w:rFonts w:cs="Arial"/>
          <w:b/>
          <w:color w:val="0070C0"/>
          <w:sz w:val="22"/>
          <w:szCs w:val="22"/>
        </w:rPr>
        <w:t>Apparent suicides</w:t>
      </w:r>
    </w:p>
    <w:p w14:paraId="32A5C8A5" w14:textId="77777777" w:rsidR="00EB61EA" w:rsidRPr="00157033" w:rsidRDefault="00EB61EA" w:rsidP="00EB61EA">
      <w:pPr>
        <w:jc w:val="both"/>
        <w:rPr>
          <w:rFonts w:cs="Arial"/>
          <w:sz w:val="22"/>
          <w:szCs w:val="22"/>
        </w:rPr>
      </w:pPr>
      <w:r w:rsidRPr="00157033">
        <w:rPr>
          <w:rFonts w:cs="Arial"/>
          <w:sz w:val="22"/>
          <w:szCs w:val="22"/>
        </w:rPr>
        <w:t xml:space="preserve">The apparent suicides will be reported on further in the Apparent Suicide annual report which will be available later in the year. The figures will be based on the live data, so may not match figures in this report. </w:t>
      </w:r>
    </w:p>
    <w:p w14:paraId="1D0F2874" w14:textId="77777777" w:rsidR="00EB61EA" w:rsidRPr="00575080" w:rsidRDefault="00EB61EA" w:rsidP="00EB61EA">
      <w:pPr>
        <w:pStyle w:val="ListParagraph"/>
        <w:spacing w:line="276" w:lineRule="auto"/>
        <w:ind w:left="426"/>
        <w:rPr>
          <w:rFonts w:ascii="Arial" w:hAnsi="Arial" w:cs="Arial"/>
          <w:sz w:val="22"/>
          <w:szCs w:val="22"/>
          <w:highlight w:val="yellow"/>
        </w:rPr>
      </w:pPr>
    </w:p>
    <w:p w14:paraId="698F9AB1" w14:textId="77777777" w:rsidR="00EB61EA" w:rsidRPr="00157033" w:rsidRDefault="00EB61EA" w:rsidP="00EB61EA">
      <w:pPr>
        <w:jc w:val="both"/>
        <w:rPr>
          <w:rFonts w:cs="Arial"/>
          <w:b/>
          <w:color w:val="0070C0"/>
          <w:sz w:val="22"/>
          <w:szCs w:val="22"/>
        </w:rPr>
      </w:pPr>
      <w:r w:rsidRPr="00157033">
        <w:rPr>
          <w:rFonts w:cs="Arial"/>
          <w:b/>
          <w:color w:val="0070C0"/>
          <w:sz w:val="22"/>
          <w:szCs w:val="22"/>
        </w:rPr>
        <w:t>Learning from Deaths findings</w:t>
      </w:r>
    </w:p>
    <w:p w14:paraId="452E6D1D" w14:textId="77777777" w:rsidR="00EB61EA" w:rsidRPr="00157033" w:rsidRDefault="00EB61EA" w:rsidP="00EB61EA">
      <w:pPr>
        <w:jc w:val="both"/>
        <w:rPr>
          <w:rFonts w:cs="Arial"/>
          <w:sz w:val="22"/>
          <w:szCs w:val="22"/>
        </w:rPr>
      </w:pPr>
      <w:r w:rsidRPr="00157033">
        <w:rPr>
          <w:rFonts w:cs="Arial"/>
          <w:sz w:val="22"/>
          <w:szCs w:val="22"/>
        </w:rPr>
        <w:t xml:space="preserve">A Learning from deaths report is prepared quarterly and included in the Quarterly Incident reports.  </w:t>
      </w:r>
    </w:p>
    <w:p w14:paraId="211CD232" w14:textId="1E4CDB76" w:rsidR="00EB61EA" w:rsidRDefault="00EB61EA" w:rsidP="00EB61EA">
      <w:pPr>
        <w:jc w:val="both"/>
        <w:rPr>
          <w:rFonts w:cs="Arial"/>
          <w:sz w:val="22"/>
          <w:szCs w:val="22"/>
        </w:rPr>
      </w:pPr>
      <w:r w:rsidRPr="002D1EB4">
        <w:rPr>
          <w:rFonts w:cs="Arial"/>
          <w:sz w:val="22"/>
          <w:szCs w:val="22"/>
        </w:rPr>
        <w:t xml:space="preserve">Understanding the data around the deaths of our service users is a vital part of our commitment to learning from all deaths.  </w:t>
      </w:r>
      <w:r>
        <w:rPr>
          <w:rFonts w:cs="Arial"/>
          <w:sz w:val="22"/>
          <w:szCs w:val="22"/>
        </w:rPr>
        <w:t xml:space="preserve">Further work </w:t>
      </w:r>
      <w:r w:rsidR="004E4993">
        <w:rPr>
          <w:rFonts w:cs="Arial"/>
          <w:sz w:val="22"/>
          <w:szCs w:val="22"/>
        </w:rPr>
        <w:t xml:space="preserve">analysis work continues. </w:t>
      </w:r>
    </w:p>
    <w:p w14:paraId="058C0D38" w14:textId="68E3DE87" w:rsidR="004E4993" w:rsidRDefault="004E4993" w:rsidP="00EB61EA">
      <w:pPr>
        <w:jc w:val="both"/>
        <w:rPr>
          <w:rFonts w:cs="Arial"/>
          <w:sz w:val="22"/>
          <w:szCs w:val="22"/>
        </w:rPr>
      </w:pPr>
    </w:p>
    <w:p w14:paraId="5B903CAB" w14:textId="1F49C449" w:rsidR="004E4993" w:rsidRPr="004E4993" w:rsidRDefault="004E4993" w:rsidP="004E4993">
      <w:pPr>
        <w:rPr>
          <w:b/>
          <w:bCs/>
          <w:color w:val="0070C0"/>
        </w:rPr>
      </w:pPr>
      <w:r w:rsidRPr="004E4993">
        <w:rPr>
          <w:b/>
          <w:bCs/>
          <w:color w:val="0070C0"/>
        </w:rPr>
        <w:t xml:space="preserve">Next Steps </w:t>
      </w:r>
    </w:p>
    <w:p w14:paraId="4774534C" w14:textId="77777777" w:rsidR="004E4993" w:rsidRPr="004E4993" w:rsidRDefault="004E4993" w:rsidP="004E4993">
      <w:pPr>
        <w:pStyle w:val="Default"/>
        <w:rPr>
          <w:rFonts w:ascii="Arial" w:hAnsi="Arial" w:cs="Arial"/>
          <w:bCs/>
          <w:color w:val="auto"/>
          <w:sz w:val="22"/>
          <w:szCs w:val="22"/>
        </w:rPr>
      </w:pPr>
      <w:r w:rsidRPr="004E4993">
        <w:rPr>
          <w:rFonts w:ascii="Arial" w:hAnsi="Arial" w:cs="Arial"/>
          <w:bCs/>
          <w:color w:val="auto"/>
          <w:sz w:val="22"/>
          <w:szCs w:val="22"/>
        </w:rPr>
        <w:t>Our work to support learning from deaths continues, and includes:</w:t>
      </w:r>
    </w:p>
    <w:p w14:paraId="54AC6905" w14:textId="77777777" w:rsidR="004E4993" w:rsidRPr="004E4993" w:rsidRDefault="004E4993" w:rsidP="004E4993">
      <w:pPr>
        <w:pStyle w:val="Default"/>
        <w:rPr>
          <w:rFonts w:ascii="Arial" w:hAnsi="Arial" w:cs="Arial"/>
          <w:color w:val="auto"/>
          <w:sz w:val="22"/>
          <w:szCs w:val="22"/>
        </w:rPr>
      </w:pPr>
    </w:p>
    <w:p w14:paraId="7545B98F" w14:textId="77777777" w:rsidR="004E4993" w:rsidRPr="004E4993" w:rsidRDefault="004E4993" w:rsidP="004E4993">
      <w:pPr>
        <w:pStyle w:val="Default"/>
        <w:numPr>
          <w:ilvl w:val="0"/>
          <w:numId w:val="3"/>
        </w:numPr>
        <w:rPr>
          <w:rFonts w:ascii="Arial" w:hAnsi="Arial" w:cs="Arial"/>
          <w:sz w:val="22"/>
          <w:szCs w:val="22"/>
        </w:rPr>
      </w:pPr>
      <w:r w:rsidRPr="004E4993">
        <w:rPr>
          <w:rFonts w:ascii="Arial" w:hAnsi="Arial" w:cs="Arial"/>
          <w:sz w:val="22"/>
          <w:szCs w:val="22"/>
        </w:rPr>
        <w:t>Continued development of processes to support bereaved families and carers</w:t>
      </w:r>
    </w:p>
    <w:p w14:paraId="0EEC8D80" w14:textId="77777777" w:rsidR="004E4993" w:rsidRPr="004E4993" w:rsidRDefault="004E4993" w:rsidP="004E4993">
      <w:pPr>
        <w:pStyle w:val="Default"/>
        <w:numPr>
          <w:ilvl w:val="0"/>
          <w:numId w:val="3"/>
        </w:numPr>
        <w:rPr>
          <w:rFonts w:ascii="Arial" w:hAnsi="Arial" w:cs="Arial"/>
          <w:sz w:val="22"/>
          <w:szCs w:val="22"/>
        </w:rPr>
      </w:pPr>
      <w:r w:rsidRPr="004E4993">
        <w:rPr>
          <w:rFonts w:ascii="Arial" w:hAnsi="Arial" w:cs="Arial"/>
          <w:sz w:val="22"/>
          <w:szCs w:val="22"/>
        </w:rPr>
        <w:lastRenderedPageBreak/>
        <w:t xml:space="preserve">Ongoing development of the Clinical Mortality Review Group </w:t>
      </w:r>
    </w:p>
    <w:p w14:paraId="23FD265E" w14:textId="77777777" w:rsidR="004E4993" w:rsidRPr="004E4993" w:rsidRDefault="004E4993" w:rsidP="004E4993">
      <w:pPr>
        <w:pStyle w:val="Default"/>
        <w:numPr>
          <w:ilvl w:val="0"/>
          <w:numId w:val="3"/>
        </w:numPr>
        <w:rPr>
          <w:rFonts w:ascii="Arial" w:hAnsi="Arial" w:cs="Arial"/>
          <w:sz w:val="22"/>
          <w:szCs w:val="22"/>
        </w:rPr>
      </w:pPr>
      <w:r w:rsidRPr="004E4993">
        <w:rPr>
          <w:rFonts w:ascii="Arial" w:hAnsi="Arial" w:cs="Arial"/>
          <w:sz w:val="22"/>
          <w:szCs w:val="22"/>
        </w:rPr>
        <w:t>Thematic review and analysis of learning from deaths findings</w:t>
      </w:r>
    </w:p>
    <w:p w14:paraId="41B5A6D6" w14:textId="77777777" w:rsidR="004E4993" w:rsidRPr="004E4993" w:rsidRDefault="004E4993" w:rsidP="004E4993">
      <w:pPr>
        <w:pStyle w:val="Default"/>
        <w:numPr>
          <w:ilvl w:val="0"/>
          <w:numId w:val="3"/>
        </w:numPr>
        <w:rPr>
          <w:rFonts w:ascii="Arial" w:hAnsi="Arial" w:cs="Arial"/>
          <w:sz w:val="22"/>
          <w:szCs w:val="22"/>
        </w:rPr>
      </w:pPr>
      <w:r w:rsidRPr="004E4993">
        <w:rPr>
          <w:rFonts w:ascii="Arial" w:hAnsi="Arial" w:cs="Arial"/>
          <w:sz w:val="22"/>
          <w:szCs w:val="22"/>
        </w:rPr>
        <w:t xml:space="preserve">Further development of internal processes and consistency in data collection </w:t>
      </w:r>
    </w:p>
    <w:p w14:paraId="70CE2C8B" w14:textId="27722D42" w:rsidR="004E4993" w:rsidRPr="004E4993" w:rsidRDefault="004E4993" w:rsidP="004E4993">
      <w:pPr>
        <w:pStyle w:val="Default"/>
        <w:numPr>
          <w:ilvl w:val="0"/>
          <w:numId w:val="3"/>
        </w:numPr>
        <w:rPr>
          <w:rFonts w:ascii="Arial" w:hAnsi="Arial" w:cs="Arial"/>
          <w:sz w:val="22"/>
          <w:szCs w:val="22"/>
        </w:rPr>
      </w:pPr>
      <w:r w:rsidRPr="004E4993">
        <w:rPr>
          <w:rFonts w:ascii="Arial" w:hAnsi="Arial" w:cs="Arial"/>
          <w:sz w:val="22"/>
          <w:szCs w:val="22"/>
        </w:rPr>
        <w:t xml:space="preserve">Continued training and support for </w:t>
      </w:r>
      <w:r>
        <w:rPr>
          <w:rFonts w:ascii="Arial" w:hAnsi="Arial" w:cs="Arial"/>
          <w:sz w:val="22"/>
          <w:szCs w:val="22"/>
        </w:rPr>
        <w:t xml:space="preserve">completing </w:t>
      </w:r>
      <w:r w:rsidRPr="004E4993">
        <w:rPr>
          <w:rFonts w:ascii="Arial" w:hAnsi="Arial" w:cs="Arial"/>
          <w:sz w:val="22"/>
          <w:szCs w:val="22"/>
        </w:rPr>
        <w:t>Structured Judgement Reviewers</w:t>
      </w:r>
    </w:p>
    <w:p w14:paraId="69B887C7" w14:textId="3C7497BF" w:rsidR="00EB61EA" w:rsidRPr="00575080" w:rsidRDefault="00EB61EA" w:rsidP="00EB61EA">
      <w:pPr>
        <w:spacing w:after="200" w:line="276" w:lineRule="auto"/>
        <w:rPr>
          <w:rFonts w:cs="Arial"/>
          <w:color w:val="FF0000"/>
          <w:sz w:val="22"/>
          <w:szCs w:val="22"/>
          <w:highlight w:val="yellow"/>
        </w:rPr>
      </w:pPr>
    </w:p>
    <w:p w14:paraId="5775776C" w14:textId="77777777" w:rsidR="00A21877" w:rsidRDefault="00A21877"/>
    <w:sectPr w:rsidR="00A21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A76FB"/>
    <w:multiLevelType w:val="hybridMultilevel"/>
    <w:tmpl w:val="05D2A5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232284"/>
    <w:multiLevelType w:val="hybridMultilevel"/>
    <w:tmpl w:val="09AECA7E"/>
    <w:lvl w:ilvl="0" w:tplc="F614FB12">
      <w:start w:val="1"/>
      <w:numFmt w:val="decimal"/>
      <w:lvlText w:val="%1."/>
      <w:lvlJc w:val="left"/>
      <w:pPr>
        <w:ind w:left="36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EA"/>
    <w:rsid w:val="001961D2"/>
    <w:rsid w:val="004E4993"/>
    <w:rsid w:val="00A21877"/>
    <w:rsid w:val="00EB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7572"/>
  <w15:chartTrackingRefBased/>
  <w15:docId w15:val="{F34FF494-ADFC-4340-AEFA-F5DE701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EA"/>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EB6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1EA"/>
    <w:pPr>
      <w:keepNext/>
      <w:keepLines/>
      <w:spacing w:before="200"/>
      <w:outlineLvl w:val="1"/>
    </w:pPr>
    <w:rPr>
      <w:rFonts w:eastAsiaTheme="majorEastAsia" w:cstheme="majorBidi"/>
      <w:b/>
      <w:bCs/>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61EA"/>
    <w:rPr>
      <w:rFonts w:ascii="Arial" w:eastAsiaTheme="majorEastAsia" w:hAnsi="Arial" w:cstheme="majorBidi"/>
      <w:b/>
      <w:bCs/>
      <w:color w:val="0070C0"/>
      <w:sz w:val="28"/>
      <w:szCs w:val="26"/>
    </w:rPr>
  </w:style>
  <w:style w:type="paragraph" w:styleId="ListParagraph">
    <w:name w:val="List Paragraph"/>
    <w:basedOn w:val="Normal"/>
    <w:uiPriority w:val="34"/>
    <w:qFormat/>
    <w:rsid w:val="00EB61EA"/>
    <w:pPr>
      <w:ind w:left="720"/>
      <w:contextualSpacing/>
    </w:pPr>
    <w:rPr>
      <w:rFonts w:ascii="Times New Roman" w:eastAsia="Times New Roman" w:hAnsi="Times New Roman"/>
    </w:rPr>
  </w:style>
  <w:style w:type="table" w:styleId="TableGrid">
    <w:name w:val="Table Grid"/>
    <w:basedOn w:val="TableNormal"/>
    <w:uiPriority w:val="59"/>
    <w:rsid w:val="00EB61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1EA"/>
    <w:rPr>
      <w:rFonts w:cs="Times New Roman"/>
      <w:color w:val="0000FF"/>
      <w:u w:val="single"/>
    </w:rPr>
  </w:style>
  <w:style w:type="paragraph" w:customStyle="1" w:styleId="Default">
    <w:name w:val="Default"/>
    <w:link w:val="DefaultChar"/>
    <w:rsid w:val="00EB61EA"/>
    <w:pPr>
      <w:autoSpaceDE w:val="0"/>
      <w:autoSpaceDN w:val="0"/>
      <w:adjustRightInd w:val="0"/>
      <w:spacing w:after="0" w:line="240" w:lineRule="auto"/>
    </w:pPr>
    <w:rPr>
      <w:rFonts w:ascii="Frutiger 45 Light" w:eastAsia="MS Mincho" w:hAnsi="Frutiger 45 Light" w:cs="Frutiger 45 Light"/>
      <w:color w:val="000000"/>
      <w:sz w:val="24"/>
      <w:szCs w:val="24"/>
      <w:lang w:eastAsia="en-GB"/>
    </w:rPr>
  </w:style>
  <w:style w:type="paragraph" w:styleId="Caption">
    <w:name w:val="caption"/>
    <w:basedOn w:val="Normal"/>
    <w:next w:val="Normal"/>
    <w:uiPriority w:val="35"/>
    <w:unhideWhenUsed/>
    <w:qFormat/>
    <w:rsid w:val="00EB61EA"/>
    <w:pPr>
      <w:spacing w:after="200"/>
    </w:pPr>
    <w:rPr>
      <w:b/>
      <w:bCs/>
      <w:color w:val="4472C4" w:themeColor="accent1"/>
      <w:sz w:val="18"/>
      <w:szCs w:val="18"/>
    </w:rPr>
  </w:style>
  <w:style w:type="character" w:customStyle="1" w:styleId="DefaultChar">
    <w:name w:val="Default Char"/>
    <w:link w:val="Default"/>
    <w:rsid w:val="00EB61EA"/>
    <w:rPr>
      <w:rFonts w:ascii="Frutiger 45 Light" w:eastAsia="MS Mincho" w:hAnsi="Frutiger 45 Light" w:cs="Frutiger 45 Light"/>
      <w:color w:val="000000"/>
      <w:sz w:val="24"/>
      <w:szCs w:val="24"/>
      <w:lang w:eastAsia="en-GB"/>
    </w:rPr>
  </w:style>
  <w:style w:type="character" w:customStyle="1" w:styleId="Heading1Char">
    <w:name w:val="Heading 1 Char"/>
    <w:basedOn w:val="DefaultParagraphFont"/>
    <w:link w:val="Heading1"/>
    <w:uiPriority w:val="9"/>
    <w:rsid w:val="00EB61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estyorkshire.nhs.uk/about-us/performance/learning-from-death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Roberts Helen(SWYMHT)</cp:lastModifiedBy>
  <cp:revision>3</cp:revision>
  <dcterms:created xsi:type="dcterms:W3CDTF">2021-08-18T09:08:00Z</dcterms:created>
  <dcterms:modified xsi:type="dcterms:W3CDTF">2021-08-18T09:25:00Z</dcterms:modified>
</cp:coreProperties>
</file>