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BA1E4" w14:textId="77777777" w:rsidR="00207A03" w:rsidRPr="005938BE" w:rsidRDefault="00207A03" w:rsidP="001769DA">
      <w:pPr>
        <w:spacing w:before="100" w:beforeAutospacing="1" w:after="100" w:afterAutospacing="1" w:line="240" w:lineRule="auto"/>
        <w:outlineLvl w:val="2"/>
        <w:rPr>
          <w:rFonts w:ascii="Arial" w:eastAsia="Times New Roman" w:hAnsi="Arial" w:cs="Arial"/>
          <w:b/>
          <w:bCs/>
          <w:kern w:val="0"/>
          <w:sz w:val="28"/>
          <w:szCs w:val="28"/>
          <w:lang w:eastAsia="en-GB"/>
          <w14:ligatures w14:val="none"/>
        </w:rPr>
      </w:pPr>
      <w:r w:rsidRPr="005938BE">
        <w:rPr>
          <w:rFonts w:ascii="Arial" w:eastAsia="Times New Roman" w:hAnsi="Arial" w:cs="Arial"/>
          <w:b/>
          <w:bCs/>
          <w:kern w:val="0"/>
          <w:sz w:val="28"/>
          <w:szCs w:val="28"/>
          <w:lang w:eastAsia="en-GB"/>
          <w14:ligatures w14:val="none"/>
        </w:rPr>
        <w:t>People and Remuneration Committee – 13</w:t>
      </w:r>
      <w:r w:rsidRPr="005938BE">
        <w:rPr>
          <w:rFonts w:ascii="Arial" w:eastAsia="Times New Roman" w:hAnsi="Arial" w:cs="Arial"/>
          <w:b/>
          <w:bCs/>
          <w:kern w:val="0"/>
          <w:sz w:val="28"/>
          <w:szCs w:val="28"/>
          <w:vertAlign w:val="superscript"/>
          <w:lang w:eastAsia="en-GB"/>
          <w14:ligatures w14:val="none"/>
        </w:rPr>
        <w:t>th</w:t>
      </w:r>
      <w:r w:rsidRPr="005938BE">
        <w:rPr>
          <w:rFonts w:ascii="Arial" w:eastAsia="Times New Roman" w:hAnsi="Arial" w:cs="Arial"/>
          <w:b/>
          <w:bCs/>
          <w:kern w:val="0"/>
          <w:sz w:val="28"/>
          <w:szCs w:val="28"/>
          <w:lang w:eastAsia="en-GB"/>
          <w14:ligatures w14:val="none"/>
        </w:rPr>
        <w:t xml:space="preserve"> May 2025.</w:t>
      </w:r>
    </w:p>
    <w:p w14:paraId="38DC64EF" w14:textId="0E25E8AB" w:rsidR="001769DA" w:rsidRPr="005938BE" w:rsidRDefault="001769DA" w:rsidP="001769DA">
      <w:pPr>
        <w:spacing w:before="100" w:beforeAutospacing="1" w:after="100" w:afterAutospacing="1" w:line="240" w:lineRule="auto"/>
        <w:outlineLvl w:val="2"/>
        <w:rPr>
          <w:rFonts w:ascii="Arial" w:eastAsia="Times New Roman" w:hAnsi="Arial" w:cs="Arial"/>
          <w:b/>
          <w:bCs/>
          <w:kern w:val="0"/>
          <w:sz w:val="28"/>
          <w:szCs w:val="28"/>
          <w:lang w:eastAsia="en-GB"/>
          <w14:ligatures w14:val="none"/>
        </w:rPr>
      </w:pPr>
      <w:r w:rsidRPr="005938BE">
        <w:rPr>
          <w:rFonts w:ascii="Arial" w:eastAsia="Times New Roman" w:hAnsi="Arial" w:cs="Arial"/>
          <w:b/>
          <w:bCs/>
          <w:kern w:val="0"/>
          <w:sz w:val="28"/>
          <w:szCs w:val="28"/>
          <w:lang w:eastAsia="en-GB"/>
          <w14:ligatures w14:val="none"/>
        </w:rPr>
        <w:t>Pay Gap Report: Gender, Ethnicity, and Future Disability Monitoring</w:t>
      </w:r>
      <w:r w:rsidR="00E11C85" w:rsidRPr="005938BE">
        <w:rPr>
          <w:rFonts w:ascii="Arial" w:eastAsia="Times New Roman" w:hAnsi="Arial" w:cs="Arial"/>
          <w:b/>
          <w:bCs/>
          <w:kern w:val="0"/>
          <w:sz w:val="28"/>
          <w:szCs w:val="28"/>
          <w:lang w:eastAsia="en-GB"/>
          <w14:ligatures w14:val="none"/>
        </w:rPr>
        <w:t xml:space="preserve"> 2025 </w:t>
      </w:r>
    </w:p>
    <w:p w14:paraId="79EE468B" w14:textId="77777777" w:rsidR="007B6F89" w:rsidRPr="005938BE" w:rsidRDefault="007B6F89" w:rsidP="00561F06">
      <w:pPr>
        <w:spacing w:before="100" w:beforeAutospacing="1" w:after="100" w:afterAutospacing="1" w:line="300" w:lineRule="atLeast"/>
        <w:rPr>
          <w:rFonts w:ascii="Arial" w:eastAsia="Times New Roman" w:hAnsi="Arial" w:cs="Arial"/>
          <w:kern w:val="0"/>
          <w:lang w:eastAsia="en-GB"/>
          <w14:ligatures w14:val="none"/>
        </w:rPr>
      </w:pPr>
      <w:r w:rsidRPr="005938BE">
        <w:rPr>
          <w:rFonts w:ascii="Arial" w:eastAsia="Times New Roman" w:hAnsi="Arial" w:cs="Arial"/>
          <w:b/>
          <w:bCs/>
          <w:kern w:val="0"/>
          <w:lang w:eastAsia="en-GB"/>
          <w14:ligatures w14:val="none"/>
        </w:rPr>
        <w:t>Executive Summary</w:t>
      </w:r>
    </w:p>
    <w:p w14:paraId="21610031" w14:textId="2FD7F508" w:rsidR="00B82C13" w:rsidRPr="005938BE" w:rsidRDefault="00B82C13"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 xml:space="preserve">This report provides a comprehensive analysis </w:t>
      </w:r>
      <w:r w:rsidRPr="005938BE">
        <w:rPr>
          <w:rFonts w:ascii="Arial" w:eastAsia="Times New Roman" w:hAnsi="Arial" w:cs="Arial"/>
          <w:b/>
          <w:bCs/>
          <w:kern w:val="0"/>
          <w:sz w:val="22"/>
          <w:szCs w:val="22"/>
          <w:lang w:eastAsia="en-GB"/>
          <w14:ligatures w14:val="none"/>
        </w:rPr>
        <w:t>of pay disparities</w:t>
      </w:r>
      <w:r w:rsidRPr="005938BE">
        <w:rPr>
          <w:rFonts w:ascii="Arial" w:eastAsia="Times New Roman" w:hAnsi="Arial" w:cs="Arial"/>
          <w:kern w:val="0"/>
          <w:sz w:val="22"/>
          <w:szCs w:val="22"/>
          <w:lang w:eastAsia="en-GB"/>
          <w14:ligatures w14:val="none"/>
        </w:rPr>
        <w:t xml:space="preserve"> within the South West Yorkshire Partnership NHS Foundation Trust (</w:t>
      </w:r>
      <w:r w:rsidR="00561F06" w:rsidRPr="005938BE">
        <w:rPr>
          <w:rFonts w:ascii="Arial" w:hAnsi="Arial" w:cs="Arial"/>
          <w:sz w:val="22"/>
          <w:szCs w:val="22"/>
        </w:rPr>
        <w:t>SWYPFT</w:t>
      </w:r>
      <w:r w:rsidRPr="005938BE">
        <w:rPr>
          <w:rFonts w:ascii="Arial" w:eastAsia="Times New Roman" w:hAnsi="Arial" w:cs="Arial"/>
          <w:kern w:val="0"/>
          <w:sz w:val="22"/>
          <w:szCs w:val="22"/>
          <w:lang w:eastAsia="en-GB"/>
          <w14:ligatures w14:val="none"/>
        </w:rPr>
        <w:t xml:space="preserve">), focusing on differences between </w:t>
      </w:r>
      <w:r w:rsidRPr="005938BE">
        <w:rPr>
          <w:rFonts w:ascii="Arial" w:eastAsia="Times New Roman" w:hAnsi="Arial" w:cs="Arial"/>
          <w:b/>
          <w:bCs/>
          <w:kern w:val="0"/>
          <w:sz w:val="22"/>
          <w:szCs w:val="22"/>
          <w:lang w:eastAsia="en-GB"/>
          <w14:ligatures w14:val="none"/>
        </w:rPr>
        <w:t>men</w:t>
      </w:r>
      <w:r w:rsidRPr="005938BE">
        <w:rPr>
          <w:rFonts w:ascii="Arial" w:eastAsia="Times New Roman" w:hAnsi="Arial" w:cs="Arial"/>
          <w:kern w:val="0"/>
          <w:sz w:val="22"/>
          <w:szCs w:val="22"/>
          <w:lang w:eastAsia="en-GB"/>
          <w14:ligatures w14:val="none"/>
        </w:rPr>
        <w:t xml:space="preserve"> and </w:t>
      </w:r>
      <w:r w:rsidRPr="005938BE">
        <w:rPr>
          <w:rFonts w:ascii="Arial" w:eastAsia="Times New Roman" w:hAnsi="Arial" w:cs="Arial"/>
          <w:b/>
          <w:bCs/>
          <w:kern w:val="0"/>
          <w:sz w:val="22"/>
          <w:szCs w:val="22"/>
          <w:lang w:eastAsia="en-GB"/>
          <w14:ligatures w14:val="none"/>
        </w:rPr>
        <w:t>women,</w:t>
      </w:r>
      <w:r w:rsidRPr="005938BE">
        <w:rPr>
          <w:rFonts w:ascii="Arial" w:eastAsia="Times New Roman" w:hAnsi="Arial" w:cs="Arial"/>
          <w:kern w:val="0"/>
          <w:sz w:val="22"/>
          <w:szCs w:val="22"/>
          <w:lang w:eastAsia="en-GB"/>
          <w14:ligatures w14:val="none"/>
        </w:rPr>
        <w:t xml:space="preserve"> as well as among various </w:t>
      </w:r>
      <w:r w:rsidRPr="005938BE">
        <w:rPr>
          <w:rFonts w:ascii="Arial" w:eastAsia="Times New Roman" w:hAnsi="Arial" w:cs="Arial"/>
          <w:b/>
          <w:bCs/>
          <w:kern w:val="0"/>
          <w:sz w:val="22"/>
          <w:szCs w:val="22"/>
          <w:lang w:eastAsia="en-GB"/>
          <w14:ligatures w14:val="none"/>
        </w:rPr>
        <w:t>ethnic</w:t>
      </w:r>
      <w:r w:rsidRPr="005938BE">
        <w:rPr>
          <w:rFonts w:ascii="Arial" w:eastAsia="Times New Roman" w:hAnsi="Arial" w:cs="Arial"/>
          <w:kern w:val="0"/>
          <w:sz w:val="22"/>
          <w:szCs w:val="22"/>
          <w:lang w:eastAsia="en-GB"/>
          <w14:ligatures w14:val="none"/>
        </w:rPr>
        <w:t xml:space="preserve"> groups. By comparing our internal data with regional and national statistics, we aim to identify areas for improvement and ensure equitable pay practices.</w:t>
      </w:r>
    </w:p>
    <w:p w14:paraId="0183B576" w14:textId="23ED02ED" w:rsidR="0001795F" w:rsidRPr="005938BE" w:rsidRDefault="00773594"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Producing an annual gender pay gap is a legal requirement</w:t>
      </w:r>
      <w:r w:rsidR="0001795F" w:rsidRPr="005938BE">
        <w:rPr>
          <w:rFonts w:ascii="Arial" w:eastAsia="Times New Roman" w:hAnsi="Arial" w:cs="Arial"/>
          <w:kern w:val="0"/>
          <w:sz w:val="22"/>
          <w:szCs w:val="22"/>
          <w:lang w:eastAsia="en-GB"/>
          <w14:ligatures w14:val="none"/>
        </w:rPr>
        <w:t xml:space="preserve"> and we have met our obligations in this regard</w:t>
      </w:r>
      <w:r w:rsidR="000C5654" w:rsidRPr="005938BE">
        <w:rPr>
          <w:rFonts w:ascii="Arial" w:eastAsia="Times New Roman" w:hAnsi="Arial" w:cs="Arial"/>
          <w:kern w:val="0"/>
          <w:sz w:val="22"/>
          <w:szCs w:val="22"/>
          <w:lang w:eastAsia="en-GB"/>
          <w14:ligatures w14:val="none"/>
        </w:rPr>
        <w:t>. T</w:t>
      </w:r>
      <w:r w:rsidR="0001795F" w:rsidRPr="005938BE">
        <w:rPr>
          <w:rFonts w:ascii="Arial" w:eastAsia="Times New Roman" w:hAnsi="Arial" w:cs="Arial"/>
          <w:kern w:val="0"/>
          <w:sz w:val="22"/>
          <w:szCs w:val="22"/>
          <w:lang w:eastAsia="en-GB"/>
          <w14:ligatures w14:val="none"/>
        </w:rPr>
        <w:t xml:space="preserve">he detailed analysis has been produced and is outlined at Appendix A.  In addition, the </w:t>
      </w:r>
      <w:r w:rsidR="00B82C13" w:rsidRPr="005938BE">
        <w:rPr>
          <w:rFonts w:ascii="Arial" w:eastAsia="Times New Roman" w:hAnsi="Arial" w:cs="Arial"/>
          <w:kern w:val="0"/>
          <w:sz w:val="22"/>
          <w:szCs w:val="22"/>
          <w:lang w:eastAsia="en-GB"/>
          <w14:ligatures w14:val="none"/>
        </w:rPr>
        <w:t xml:space="preserve">Yorkshire ICB's high-impact EDI improvement plan includes action 3.2 to </w:t>
      </w:r>
      <w:r w:rsidR="00B82C13" w:rsidRPr="005938BE">
        <w:rPr>
          <w:rFonts w:ascii="Arial" w:eastAsia="Times New Roman" w:hAnsi="Arial" w:cs="Arial"/>
          <w:b/>
          <w:bCs/>
          <w:kern w:val="0"/>
          <w:sz w:val="22"/>
          <w:szCs w:val="22"/>
          <w:lang w:eastAsia="en-GB"/>
          <w14:ligatures w14:val="none"/>
        </w:rPr>
        <w:t>eliminate pay gaps</w:t>
      </w:r>
      <w:r w:rsidR="00B82C13" w:rsidRPr="005938BE">
        <w:rPr>
          <w:rFonts w:ascii="Arial" w:eastAsia="Times New Roman" w:hAnsi="Arial" w:cs="Arial"/>
          <w:kern w:val="0"/>
          <w:sz w:val="22"/>
          <w:szCs w:val="22"/>
          <w:lang w:eastAsia="en-GB"/>
          <w14:ligatures w14:val="none"/>
        </w:rPr>
        <w:t xml:space="preserve"> by analysing data by protected characteristics and implementing targeted improvement plans. </w:t>
      </w:r>
    </w:p>
    <w:p w14:paraId="3F01DF41" w14:textId="4DB62A00" w:rsidR="00B82C13" w:rsidRPr="005938BE" w:rsidRDefault="0001795F"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 xml:space="preserve">To meet </w:t>
      </w:r>
      <w:r w:rsidR="00A51561" w:rsidRPr="005938BE">
        <w:rPr>
          <w:rFonts w:ascii="Arial" w:eastAsia="Times New Roman" w:hAnsi="Arial" w:cs="Arial"/>
          <w:kern w:val="0"/>
          <w:sz w:val="22"/>
          <w:szCs w:val="22"/>
          <w:lang w:eastAsia="en-GB"/>
          <w14:ligatures w14:val="none"/>
        </w:rPr>
        <w:t>this ambitious aim</w:t>
      </w:r>
      <w:r w:rsidRPr="005938BE">
        <w:rPr>
          <w:rFonts w:ascii="Arial" w:eastAsia="Times New Roman" w:hAnsi="Arial" w:cs="Arial"/>
          <w:kern w:val="0"/>
          <w:sz w:val="22"/>
          <w:szCs w:val="22"/>
          <w:lang w:eastAsia="en-GB"/>
          <w14:ligatures w14:val="none"/>
        </w:rPr>
        <w:t>, w</w:t>
      </w:r>
      <w:r w:rsidR="00B82C13" w:rsidRPr="005938BE">
        <w:rPr>
          <w:rFonts w:ascii="Arial" w:eastAsia="Times New Roman" w:hAnsi="Arial" w:cs="Arial"/>
          <w:kern w:val="0"/>
          <w:sz w:val="22"/>
          <w:szCs w:val="22"/>
          <w:lang w:eastAsia="en-GB"/>
          <w14:ligatures w14:val="none"/>
        </w:rPr>
        <w:t xml:space="preserve">e have </w:t>
      </w:r>
      <w:r w:rsidR="00B82C13" w:rsidRPr="005938BE">
        <w:rPr>
          <w:rFonts w:ascii="Arial" w:eastAsia="Times New Roman" w:hAnsi="Arial" w:cs="Arial"/>
          <w:b/>
          <w:bCs/>
          <w:kern w:val="0"/>
          <w:sz w:val="22"/>
          <w:szCs w:val="22"/>
          <w:lang w:eastAsia="en-GB"/>
          <w14:ligatures w14:val="none"/>
        </w:rPr>
        <w:t>successfully</w:t>
      </w:r>
      <w:r w:rsidR="00B82C13" w:rsidRPr="005938BE">
        <w:rPr>
          <w:rFonts w:ascii="Arial" w:eastAsia="Times New Roman" w:hAnsi="Arial" w:cs="Arial"/>
          <w:kern w:val="0"/>
          <w:sz w:val="22"/>
          <w:szCs w:val="22"/>
          <w:lang w:eastAsia="en-GB"/>
          <w14:ligatures w14:val="none"/>
        </w:rPr>
        <w:t xml:space="preserve"> met the action to report </w:t>
      </w:r>
      <w:r w:rsidR="00B82C13" w:rsidRPr="005938BE">
        <w:rPr>
          <w:rFonts w:ascii="Arial" w:eastAsia="Times New Roman" w:hAnsi="Arial" w:cs="Arial"/>
          <w:b/>
          <w:bCs/>
          <w:kern w:val="0"/>
          <w:sz w:val="22"/>
          <w:szCs w:val="22"/>
          <w:lang w:eastAsia="en-GB"/>
          <w14:ligatures w14:val="none"/>
        </w:rPr>
        <w:t>ethnicity pay gaps</w:t>
      </w:r>
      <w:r w:rsidR="00B82C13" w:rsidRPr="005938BE">
        <w:rPr>
          <w:rFonts w:ascii="Arial" w:eastAsia="Times New Roman" w:hAnsi="Arial" w:cs="Arial"/>
          <w:kern w:val="0"/>
          <w:sz w:val="22"/>
          <w:szCs w:val="22"/>
          <w:lang w:eastAsia="en-GB"/>
          <w14:ligatures w14:val="none"/>
        </w:rPr>
        <w:t xml:space="preserve"> for </w:t>
      </w:r>
      <w:r w:rsidR="00B82C13" w:rsidRPr="005938BE">
        <w:rPr>
          <w:rFonts w:ascii="Arial" w:eastAsia="Times New Roman" w:hAnsi="Arial" w:cs="Arial"/>
          <w:b/>
          <w:bCs/>
          <w:kern w:val="0"/>
          <w:sz w:val="22"/>
          <w:szCs w:val="22"/>
          <w:lang w:eastAsia="en-GB"/>
          <w14:ligatures w14:val="none"/>
        </w:rPr>
        <w:t>2024</w:t>
      </w:r>
      <w:r w:rsidRPr="005938BE">
        <w:rPr>
          <w:rFonts w:ascii="Arial" w:eastAsia="Times New Roman" w:hAnsi="Arial" w:cs="Arial"/>
          <w:b/>
          <w:bCs/>
          <w:kern w:val="0"/>
          <w:sz w:val="22"/>
          <w:szCs w:val="22"/>
          <w:lang w:eastAsia="en-GB"/>
          <w14:ligatures w14:val="none"/>
        </w:rPr>
        <w:t>, and a detailed analysis is outlined in Appendix B</w:t>
      </w:r>
      <w:r w:rsidR="00B82C13" w:rsidRPr="005938BE">
        <w:rPr>
          <w:rFonts w:ascii="Arial" w:eastAsia="Times New Roman" w:hAnsi="Arial" w:cs="Arial"/>
          <w:kern w:val="0"/>
          <w:sz w:val="22"/>
          <w:szCs w:val="22"/>
          <w:lang w:eastAsia="en-GB"/>
          <w14:ligatures w14:val="none"/>
        </w:rPr>
        <w:t xml:space="preserve">. We aim to analyse the disability pay gap in 2025, followed by other protected characteristics by 2026. Although the Government does not mandate reporting ethnicity and disability pay gaps, </w:t>
      </w:r>
      <w:r w:rsidR="00561F06" w:rsidRPr="005938BE">
        <w:rPr>
          <w:rFonts w:ascii="Arial" w:hAnsi="Arial" w:cs="Arial"/>
          <w:sz w:val="22"/>
          <w:szCs w:val="22"/>
        </w:rPr>
        <w:t>SWYPFT</w:t>
      </w:r>
      <w:r w:rsidR="00B82C13" w:rsidRPr="005938BE">
        <w:rPr>
          <w:rFonts w:ascii="Arial" w:eastAsia="Times New Roman" w:hAnsi="Arial" w:cs="Arial"/>
          <w:kern w:val="0"/>
          <w:sz w:val="22"/>
          <w:szCs w:val="22"/>
          <w:lang w:eastAsia="en-GB"/>
          <w14:ligatures w14:val="none"/>
        </w:rPr>
        <w:t xml:space="preserve"> is committed to transparency and fairness by sharing this information proactively. This report under</w:t>
      </w:r>
      <w:r w:rsidR="000C5654" w:rsidRPr="005938BE">
        <w:rPr>
          <w:rFonts w:ascii="Arial" w:eastAsia="Times New Roman" w:hAnsi="Arial" w:cs="Arial"/>
          <w:kern w:val="0"/>
          <w:sz w:val="22"/>
          <w:szCs w:val="22"/>
          <w:lang w:eastAsia="en-GB"/>
          <w14:ligatures w14:val="none"/>
        </w:rPr>
        <w:t>lines</w:t>
      </w:r>
      <w:r w:rsidR="00B82C13" w:rsidRPr="005938BE">
        <w:rPr>
          <w:rFonts w:ascii="Arial" w:eastAsia="Times New Roman" w:hAnsi="Arial" w:cs="Arial"/>
          <w:kern w:val="0"/>
          <w:sz w:val="22"/>
          <w:szCs w:val="22"/>
          <w:lang w:eastAsia="en-GB"/>
          <w14:ligatures w14:val="none"/>
        </w:rPr>
        <w:t xml:space="preserve"> our dedication to fostering an inclusive and equitable workplace and our ongoing efforts to address and eliminate pay disparities.</w:t>
      </w:r>
    </w:p>
    <w:p w14:paraId="0E361D25" w14:textId="6E746F0D" w:rsidR="001769DA" w:rsidRPr="005938BE" w:rsidRDefault="001769DA" w:rsidP="00561F06">
      <w:pPr>
        <w:spacing w:before="100" w:beforeAutospacing="1" w:after="100" w:afterAutospacing="1" w:line="300" w:lineRule="atLeast"/>
        <w:outlineLvl w:val="3"/>
        <w:rPr>
          <w:rFonts w:ascii="Arial" w:eastAsia="Times New Roman" w:hAnsi="Arial" w:cs="Arial"/>
          <w:b/>
          <w:bCs/>
          <w:kern w:val="0"/>
          <w:lang w:eastAsia="en-GB"/>
          <w14:ligatures w14:val="none"/>
        </w:rPr>
      </w:pPr>
      <w:r w:rsidRPr="005938BE">
        <w:rPr>
          <w:rFonts w:ascii="Arial" w:eastAsia="Times New Roman" w:hAnsi="Arial" w:cs="Arial"/>
          <w:b/>
          <w:bCs/>
          <w:kern w:val="0"/>
          <w:lang w:eastAsia="en-GB"/>
          <w14:ligatures w14:val="none"/>
        </w:rPr>
        <w:t>Key Findings</w:t>
      </w:r>
    </w:p>
    <w:p w14:paraId="4D08CD03" w14:textId="31165640" w:rsidR="001769DA" w:rsidRPr="005938BE" w:rsidRDefault="001769DA"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SWY</w:t>
      </w:r>
      <w:r w:rsidR="00561F06">
        <w:rPr>
          <w:rFonts w:ascii="Arial" w:eastAsia="Times New Roman" w:hAnsi="Arial" w:cs="Arial"/>
          <w:kern w:val="0"/>
          <w:sz w:val="22"/>
          <w:szCs w:val="22"/>
          <w:lang w:eastAsia="en-GB"/>
          <w14:ligatures w14:val="none"/>
        </w:rPr>
        <w:t>PF</w:t>
      </w:r>
      <w:r w:rsidRPr="005938BE">
        <w:rPr>
          <w:rFonts w:ascii="Arial" w:eastAsia="Times New Roman" w:hAnsi="Arial" w:cs="Arial"/>
          <w:kern w:val="0"/>
          <w:sz w:val="22"/>
          <w:szCs w:val="22"/>
          <w:lang w:eastAsia="en-GB"/>
          <w14:ligatures w14:val="none"/>
        </w:rPr>
        <w:t xml:space="preserve">T’s </w:t>
      </w:r>
      <w:r w:rsidRPr="005938BE">
        <w:rPr>
          <w:rFonts w:ascii="Arial" w:eastAsia="Times New Roman" w:hAnsi="Arial" w:cs="Arial"/>
          <w:b/>
          <w:bCs/>
          <w:kern w:val="0"/>
          <w:sz w:val="22"/>
          <w:szCs w:val="22"/>
          <w:lang w:eastAsia="en-GB"/>
          <w14:ligatures w14:val="none"/>
        </w:rPr>
        <w:t>median gender pay gap is 5.0%</w:t>
      </w:r>
      <w:r w:rsidRPr="005938BE">
        <w:rPr>
          <w:rFonts w:ascii="Arial" w:eastAsia="Times New Roman" w:hAnsi="Arial" w:cs="Arial"/>
          <w:kern w:val="0"/>
          <w:sz w:val="22"/>
          <w:szCs w:val="22"/>
          <w:lang w:eastAsia="en-GB"/>
          <w14:ligatures w14:val="none"/>
        </w:rPr>
        <w:t xml:space="preserve">, much lower than the regional average of </w:t>
      </w:r>
      <w:r w:rsidRPr="005938BE">
        <w:rPr>
          <w:rFonts w:ascii="Arial" w:eastAsia="Times New Roman" w:hAnsi="Arial" w:cs="Arial"/>
          <w:b/>
          <w:bCs/>
          <w:kern w:val="0"/>
          <w:sz w:val="22"/>
          <w:szCs w:val="22"/>
          <w:lang w:eastAsia="en-GB"/>
          <w14:ligatures w14:val="none"/>
        </w:rPr>
        <w:t>10.6%</w:t>
      </w:r>
      <w:r w:rsidRPr="005938BE">
        <w:rPr>
          <w:rFonts w:ascii="Arial" w:eastAsia="Times New Roman" w:hAnsi="Arial" w:cs="Arial"/>
          <w:kern w:val="0"/>
          <w:sz w:val="22"/>
          <w:szCs w:val="22"/>
          <w:lang w:eastAsia="en-GB"/>
          <w14:ligatures w14:val="none"/>
        </w:rPr>
        <w:t xml:space="preserve">, which shows progress. Our </w:t>
      </w:r>
      <w:r w:rsidRPr="005938BE">
        <w:rPr>
          <w:rFonts w:ascii="Arial" w:eastAsia="Times New Roman" w:hAnsi="Arial" w:cs="Arial"/>
          <w:b/>
          <w:bCs/>
          <w:kern w:val="0"/>
          <w:sz w:val="22"/>
          <w:szCs w:val="22"/>
          <w:lang w:eastAsia="en-GB"/>
          <w14:ligatures w14:val="none"/>
        </w:rPr>
        <w:t>mean gender pay gap is 13.9%</w:t>
      </w:r>
      <w:r w:rsidRPr="005938BE">
        <w:rPr>
          <w:rFonts w:ascii="Arial" w:eastAsia="Times New Roman" w:hAnsi="Arial" w:cs="Arial"/>
          <w:kern w:val="0"/>
          <w:sz w:val="22"/>
          <w:szCs w:val="22"/>
          <w:lang w:eastAsia="en-GB"/>
          <w14:ligatures w14:val="none"/>
        </w:rPr>
        <w:t xml:space="preserve">, meaning that at the highest-paid levels, differences remain, but we are still doing better than the regional figure of </w:t>
      </w:r>
      <w:r w:rsidRPr="005938BE">
        <w:rPr>
          <w:rFonts w:ascii="Arial" w:eastAsia="Times New Roman" w:hAnsi="Arial" w:cs="Arial"/>
          <w:b/>
          <w:bCs/>
          <w:kern w:val="0"/>
          <w:sz w:val="22"/>
          <w:szCs w:val="22"/>
          <w:lang w:eastAsia="en-GB"/>
          <w14:ligatures w14:val="none"/>
        </w:rPr>
        <w:t>20.9%</w:t>
      </w:r>
      <w:r w:rsidRPr="005938BE">
        <w:rPr>
          <w:rFonts w:ascii="Arial" w:eastAsia="Times New Roman" w:hAnsi="Arial" w:cs="Arial"/>
          <w:kern w:val="0"/>
          <w:sz w:val="22"/>
          <w:szCs w:val="22"/>
          <w:lang w:eastAsia="en-GB"/>
          <w14:ligatures w14:val="none"/>
        </w:rPr>
        <w:t xml:space="preserve">. However, we need to focus more on improving </w:t>
      </w:r>
      <w:r w:rsidRPr="005938BE">
        <w:rPr>
          <w:rFonts w:ascii="Arial" w:eastAsia="Times New Roman" w:hAnsi="Arial" w:cs="Arial"/>
          <w:b/>
          <w:bCs/>
          <w:kern w:val="0"/>
          <w:sz w:val="22"/>
          <w:szCs w:val="22"/>
          <w:lang w:eastAsia="en-GB"/>
          <w14:ligatures w14:val="none"/>
        </w:rPr>
        <w:t>representation in senior roles</w:t>
      </w:r>
      <w:r w:rsidRPr="005938BE">
        <w:rPr>
          <w:rFonts w:ascii="Arial" w:eastAsia="Times New Roman" w:hAnsi="Arial" w:cs="Arial"/>
          <w:kern w:val="0"/>
          <w:sz w:val="22"/>
          <w:szCs w:val="22"/>
          <w:lang w:eastAsia="en-GB"/>
          <w14:ligatures w14:val="none"/>
        </w:rPr>
        <w:t xml:space="preserve"> (Bands 8B–8D).</w:t>
      </w:r>
    </w:p>
    <w:p w14:paraId="65ADCB3F" w14:textId="750864EF" w:rsidR="001769DA" w:rsidRDefault="001769DA"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 xml:space="preserve">For ethnicity, </w:t>
      </w:r>
      <w:r w:rsidR="00561F06" w:rsidRPr="005938BE">
        <w:rPr>
          <w:rFonts w:ascii="Arial" w:hAnsi="Arial" w:cs="Arial"/>
          <w:sz w:val="22"/>
          <w:szCs w:val="22"/>
        </w:rPr>
        <w:t>SWYPFT</w:t>
      </w:r>
      <w:r w:rsidRPr="005938BE">
        <w:rPr>
          <w:rFonts w:ascii="Arial" w:eastAsia="Times New Roman" w:hAnsi="Arial" w:cs="Arial"/>
          <w:kern w:val="0"/>
          <w:sz w:val="22"/>
          <w:szCs w:val="22"/>
          <w:lang w:eastAsia="en-GB"/>
          <w14:ligatures w14:val="none"/>
        </w:rPr>
        <w:t xml:space="preserve"> has </w:t>
      </w:r>
      <w:r w:rsidRPr="005938BE">
        <w:rPr>
          <w:rFonts w:ascii="Arial" w:eastAsia="Times New Roman" w:hAnsi="Arial" w:cs="Arial"/>
          <w:b/>
          <w:bCs/>
          <w:kern w:val="0"/>
          <w:sz w:val="22"/>
          <w:szCs w:val="22"/>
          <w:lang w:eastAsia="en-GB"/>
          <w14:ligatures w14:val="none"/>
        </w:rPr>
        <w:t>mostly closed the pay gap that existed in 2018</w:t>
      </w:r>
      <w:r w:rsidRPr="005938BE">
        <w:rPr>
          <w:rFonts w:ascii="Arial" w:eastAsia="Times New Roman" w:hAnsi="Arial" w:cs="Arial"/>
          <w:kern w:val="0"/>
          <w:sz w:val="22"/>
          <w:szCs w:val="22"/>
          <w:lang w:eastAsia="en-GB"/>
          <w14:ligatures w14:val="none"/>
        </w:rPr>
        <w:t xml:space="preserve">, with ethnic minority staff now earning </w:t>
      </w:r>
      <w:r w:rsidRPr="005938BE">
        <w:rPr>
          <w:rFonts w:ascii="Arial" w:eastAsia="Times New Roman" w:hAnsi="Arial" w:cs="Arial"/>
          <w:b/>
          <w:bCs/>
          <w:kern w:val="0"/>
          <w:sz w:val="22"/>
          <w:szCs w:val="22"/>
          <w:lang w:eastAsia="en-GB"/>
          <w14:ligatures w14:val="none"/>
        </w:rPr>
        <w:t>slightly more</w:t>
      </w:r>
      <w:r w:rsidRPr="005938BE">
        <w:rPr>
          <w:rFonts w:ascii="Arial" w:eastAsia="Times New Roman" w:hAnsi="Arial" w:cs="Arial"/>
          <w:kern w:val="0"/>
          <w:sz w:val="22"/>
          <w:szCs w:val="22"/>
          <w:lang w:eastAsia="en-GB"/>
          <w14:ligatures w14:val="none"/>
        </w:rPr>
        <w:t xml:space="preserve"> than White staff on average. However, </w:t>
      </w:r>
      <w:r w:rsidRPr="005938BE">
        <w:rPr>
          <w:rFonts w:ascii="Arial" w:eastAsia="Times New Roman" w:hAnsi="Arial" w:cs="Arial"/>
          <w:b/>
          <w:bCs/>
          <w:kern w:val="0"/>
          <w:sz w:val="22"/>
          <w:szCs w:val="22"/>
          <w:lang w:eastAsia="en-GB"/>
          <w14:ligatures w14:val="none"/>
        </w:rPr>
        <w:t>Black employees still earn less than the White benchmark and are underrepresented in senior roles</w:t>
      </w:r>
      <w:r w:rsidRPr="005938BE">
        <w:rPr>
          <w:rFonts w:ascii="Arial" w:eastAsia="Times New Roman" w:hAnsi="Arial" w:cs="Arial"/>
          <w:kern w:val="0"/>
          <w:sz w:val="22"/>
          <w:szCs w:val="22"/>
          <w:lang w:eastAsia="en-GB"/>
          <w14:ligatures w14:val="none"/>
        </w:rPr>
        <w:t xml:space="preserve">, while </w:t>
      </w:r>
      <w:r w:rsidRPr="005938BE">
        <w:rPr>
          <w:rFonts w:ascii="Arial" w:eastAsia="Times New Roman" w:hAnsi="Arial" w:cs="Arial"/>
          <w:b/>
          <w:bCs/>
          <w:kern w:val="0"/>
          <w:sz w:val="22"/>
          <w:szCs w:val="22"/>
          <w:lang w:eastAsia="en-GB"/>
          <w14:ligatures w14:val="none"/>
        </w:rPr>
        <w:t>Asian and Other staff earn above the White average</w:t>
      </w:r>
      <w:r w:rsidRPr="005938BE">
        <w:rPr>
          <w:rFonts w:ascii="Arial" w:eastAsia="Times New Roman" w:hAnsi="Arial" w:cs="Arial"/>
          <w:kern w:val="0"/>
          <w:sz w:val="22"/>
          <w:szCs w:val="22"/>
          <w:lang w:eastAsia="en-GB"/>
          <w14:ligatures w14:val="none"/>
        </w:rPr>
        <w:t xml:space="preserve">, which influences the overall figures. National trends show similar disparities, meaning </w:t>
      </w:r>
      <w:r w:rsidRPr="005938BE">
        <w:rPr>
          <w:rFonts w:ascii="Arial" w:eastAsia="Times New Roman" w:hAnsi="Arial" w:cs="Arial"/>
          <w:b/>
          <w:bCs/>
          <w:kern w:val="0"/>
          <w:sz w:val="22"/>
          <w:szCs w:val="22"/>
          <w:lang w:eastAsia="en-GB"/>
          <w14:ligatures w14:val="none"/>
        </w:rPr>
        <w:t>we must take further action</w:t>
      </w:r>
      <w:r w:rsidRPr="005938BE">
        <w:rPr>
          <w:rFonts w:ascii="Arial" w:eastAsia="Times New Roman" w:hAnsi="Arial" w:cs="Arial"/>
          <w:kern w:val="0"/>
          <w:sz w:val="22"/>
          <w:szCs w:val="22"/>
          <w:lang w:eastAsia="en-GB"/>
          <w14:ligatures w14:val="none"/>
        </w:rPr>
        <w:t xml:space="preserve"> to support fair career progression.</w:t>
      </w:r>
    </w:p>
    <w:p w14:paraId="5255F2C8" w14:textId="77777777" w:rsidR="005938BE" w:rsidRDefault="005938BE" w:rsidP="00561F06">
      <w:pPr>
        <w:spacing w:before="100" w:beforeAutospacing="1" w:after="100" w:afterAutospacing="1" w:line="300" w:lineRule="atLeast"/>
        <w:rPr>
          <w:rFonts w:ascii="Arial" w:eastAsia="Times New Roman" w:hAnsi="Arial" w:cs="Arial"/>
          <w:kern w:val="0"/>
          <w:sz w:val="22"/>
          <w:szCs w:val="22"/>
          <w:lang w:eastAsia="en-GB"/>
          <w14:ligatures w14:val="none"/>
        </w:rPr>
      </w:pPr>
    </w:p>
    <w:p w14:paraId="7F4F1FA7" w14:textId="77777777" w:rsidR="005938BE" w:rsidRDefault="005938BE" w:rsidP="00561F06">
      <w:pPr>
        <w:spacing w:before="100" w:beforeAutospacing="1" w:after="100" w:afterAutospacing="1" w:line="300" w:lineRule="atLeast"/>
        <w:rPr>
          <w:rFonts w:ascii="Arial" w:eastAsia="Times New Roman" w:hAnsi="Arial" w:cs="Arial"/>
          <w:kern w:val="0"/>
          <w:sz w:val="22"/>
          <w:szCs w:val="22"/>
          <w:lang w:eastAsia="en-GB"/>
          <w14:ligatures w14:val="none"/>
        </w:rPr>
      </w:pPr>
    </w:p>
    <w:p w14:paraId="1E9C8DE6" w14:textId="77777777" w:rsidR="005938BE" w:rsidRPr="005938BE" w:rsidRDefault="005938BE" w:rsidP="00561F06">
      <w:pPr>
        <w:spacing w:before="100" w:beforeAutospacing="1" w:after="100" w:afterAutospacing="1" w:line="300" w:lineRule="atLeast"/>
        <w:rPr>
          <w:rFonts w:ascii="Arial" w:eastAsia="Times New Roman" w:hAnsi="Arial" w:cs="Arial"/>
          <w:kern w:val="0"/>
          <w:sz w:val="22"/>
          <w:szCs w:val="22"/>
          <w:lang w:eastAsia="en-GB"/>
          <w14:ligatures w14:val="none"/>
        </w:rPr>
      </w:pPr>
    </w:p>
    <w:p w14:paraId="575B23F3" w14:textId="39E6F5AC" w:rsidR="001769DA" w:rsidRPr="005938BE" w:rsidRDefault="001769DA" w:rsidP="00561F06">
      <w:pPr>
        <w:spacing w:before="100" w:beforeAutospacing="1" w:after="100" w:afterAutospacing="1" w:line="300" w:lineRule="atLeast"/>
        <w:outlineLvl w:val="3"/>
        <w:rPr>
          <w:rFonts w:ascii="Arial" w:eastAsia="Times New Roman" w:hAnsi="Arial" w:cs="Arial"/>
          <w:b/>
          <w:bCs/>
          <w:kern w:val="0"/>
          <w:lang w:eastAsia="en-GB"/>
          <w14:ligatures w14:val="none"/>
        </w:rPr>
      </w:pPr>
      <w:r w:rsidRPr="005938BE">
        <w:rPr>
          <w:rFonts w:ascii="Arial" w:eastAsia="Times New Roman" w:hAnsi="Arial" w:cs="Arial"/>
          <w:b/>
          <w:bCs/>
          <w:kern w:val="0"/>
          <w:lang w:eastAsia="en-GB"/>
          <w14:ligatures w14:val="none"/>
        </w:rPr>
        <w:lastRenderedPageBreak/>
        <w:t>Future Disability Pay Gap Reporting</w:t>
      </w:r>
    </w:p>
    <w:p w14:paraId="3AEAF30A" w14:textId="6CEF6737" w:rsidR="005938BE" w:rsidRPr="005938BE" w:rsidRDefault="001769DA"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 xml:space="preserve">The NHS plans to introduce </w:t>
      </w:r>
      <w:r w:rsidRPr="005938BE">
        <w:rPr>
          <w:rFonts w:ascii="Arial" w:eastAsia="Times New Roman" w:hAnsi="Arial" w:cs="Arial"/>
          <w:b/>
          <w:bCs/>
          <w:kern w:val="0"/>
          <w:sz w:val="22"/>
          <w:szCs w:val="22"/>
          <w:lang w:eastAsia="en-GB"/>
          <w14:ligatures w14:val="none"/>
        </w:rPr>
        <w:t>disability pay gap reporting in 2025</w:t>
      </w:r>
      <w:r w:rsidRPr="005938BE">
        <w:rPr>
          <w:rFonts w:ascii="Arial" w:eastAsia="Times New Roman" w:hAnsi="Arial" w:cs="Arial"/>
          <w:kern w:val="0"/>
          <w:sz w:val="22"/>
          <w:szCs w:val="22"/>
          <w:lang w:eastAsia="en-GB"/>
          <w14:ligatures w14:val="none"/>
        </w:rPr>
        <w:t xml:space="preserve">, and </w:t>
      </w:r>
      <w:r w:rsidR="00561F06" w:rsidRPr="005938BE">
        <w:rPr>
          <w:rFonts w:ascii="Arial" w:hAnsi="Arial" w:cs="Arial"/>
          <w:sz w:val="22"/>
          <w:szCs w:val="22"/>
        </w:rPr>
        <w:t>SWYPFT</w:t>
      </w:r>
      <w:r w:rsidRPr="005938BE">
        <w:rPr>
          <w:rFonts w:ascii="Arial" w:eastAsia="Times New Roman" w:hAnsi="Arial" w:cs="Arial"/>
          <w:kern w:val="0"/>
          <w:sz w:val="22"/>
          <w:szCs w:val="22"/>
          <w:lang w:eastAsia="en-GB"/>
          <w14:ligatures w14:val="none"/>
        </w:rPr>
        <w:t xml:space="preserve"> will include this data in future reports. This step will help </w:t>
      </w:r>
      <w:r w:rsidRPr="005938BE">
        <w:rPr>
          <w:rFonts w:ascii="Arial" w:eastAsia="Times New Roman" w:hAnsi="Arial" w:cs="Arial"/>
          <w:b/>
          <w:bCs/>
          <w:kern w:val="0"/>
          <w:sz w:val="22"/>
          <w:szCs w:val="22"/>
          <w:lang w:eastAsia="en-GB"/>
          <w14:ligatures w14:val="none"/>
        </w:rPr>
        <w:t>ensure fairness and transparency</w:t>
      </w:r>
      <w:r w:rsidRPr="005938BE">
        <w:rPr>
          <w:rFonts w:ascii="Arial" w:eastAsia="Times New Roman" w:hAnsi="Arial" w:cs="Arial"/>
          <w:kern w:val="0"/>
          <w:sz w:val="22"/>
          <w:szCs w:val="22"/>
          <w:lang w:eastAsia="en-GB"/>
          <w14:ligatures w14:val="none"/>
        </w:rPr>
        <w:t xml:space="preserve"> for all staff.</w:t>
      </w:r>
    </w:p>
    <w:p w14:paraId="4A8847A5" w14:textId="6775D585" w:rsidR="001769DA" w:rsidRPr="005938BE" w:rsidRDefault="001769DA" w:rsidP="00561F06">
      <w:pPr>
        <w:spacing w:before="100" w:beforeAutospacing="1" w:after="100" w:afterAutospacing="1" w:line="300" w:lineRule="atLeast"/>
        <w:outlineLvl w:val="3"/>
        <w:rPr>
          <w:rFonts w:ascii="Arial" w:eastAsia="Times New Roman" w:hAnsi="Arial" w:cs="Arial"/>
          <w:b/>
          <w:bCs/>
          <w:kern w:val="0"/>
          <w:lang w:eastAsia="en-GB"/>
          <w14:ligatures w14:val="none"/>
        </w:rPr>
      </w:pPr>
      <w:r w:rsidRPr="005938BE">
        <w:rPr>
          <w:rFonts w:ascii="Arial" w:eastAsia="Times New Roman" w:hAnsi="Arial" w:cs="Arial"/>
          <w:b/>
          <w:bCs/>
          <w:kern w:val="0"/>
          <w:lang w:eastAsia="en-GB"/>
          <w14:ligatures w14:val="none"/>
        </w:rPr>
        <w:t>Next Steps</w:t>
      </w:r>
    </w:p>
    <w:p w14:paraId="72486F2E" w14:textId="0F689297" w:rsidR="00B2741E" w:rsidRPr="005938BE" w:rsidRDefault="00A51561"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kern w:val="0"/>
          <w:sz w:val="22"/>
          <w:szCs w:val="22"/>
          <w:lang w:eastAsia="en-GB"/>
          <w14:ligatures w14:val="none"/>
        </w:rPr>
        <w:t>We will combine these findings to pro</w:t>
      </w:r>
      <w:r w:rsidR="00B2741E" w:rsidRPr="005938BE">
        <w:rPr>
          <w:rFonts w:ascii="Arial" w:eastAsia="Times New Roman" w:hAnsi="Arial" w:cs="Arial"/>
          <w:kern w:val="0"/>
          <w:sz w:val="22"/>
          <w:szCs w:val="22"/>
          <w:lang w:eastAsia="en-GB"/>
          <w14:ligatures w14:val="none"/>
        </w:rPr>
        <w:t>duce</w:t>
      </w:r>
      <w:r w:rsidRPr="005938BE">
        <w:rPr>
          <w:rFonts w:ascii="Arial" w:eastAsia="Times New Roman" w:hAnsi="Arial" w:cs="Arial"/>
          <w:kern w:val="0"/>
          <w:sz w:val="22"/>
          <w:szCs w:val="22"/>
          <w:lang w:eastAsia="en-GB"/>
          <w14:ligatures w14:val="none"/>
        </w:rPr>
        <w:t xml:space="preserve"> one cohesive improvement plan linked to our EDI goals </w:t>
      </w:r>
      <w:r w:rsidR="000C5654" w:rsidRPr="005938BE">
        <w:rPr>
          <w:rFonts w:ascii="Arial" w:eastAsia="Times New Roman" w:hAnsi="Arial" w:cs="Arial"/>
          <w:kern w:val="0"/>
          <w:sz w:val="22"/>
          <w:szCs w:val="22"/>
          <w:lang w:eastAsia="en-GB"/>
          <w14:ligatures w14:val="none"/>
        </w:rPr>
        <w:t xml:space="preserve">and the ICB high priority action. </w:t>
      </w:r>
      <w:r w:rsidR="00B2741E" w:rsidRPr="005938BE">
        <w:rPr>
          <w:rFonts w:ascii="Arial" w:eastAsia="Times New Roman" w:hAnsi="Arial" w:cs="Arial"/>
          <w:kern w:val="0"/>
          <w:sz w:val="22"/>
          <w:szCs w:val="22"/>
          <w:lang w:eastAsia="en-GB"/>
          <w14:ligatures w14:val="none"/>
        </w:rPr>
        <w:t xml:space="preserve">This </w:t>
      </w:r>
      <w:r w:rsidR="000C5654" w:rsidRPr="005938BE">
        <w:rPr>
          <w:rFonts w:ascii="Arial" w:eastAsia="Times New Roman" w:hAnsi="Arial" w:cs="Arial"/>
          <w:kern w:val="0"/>
          <w:sz w:val="22"/>
          <w:szCs w:val="22"/>
          <w:lang w:eastAsia="en-GB"/>
          <w14:ligatures w14:val="none"/>
        </w:rPr>
        <w:t>means</w:t>
      </w:r>
      <w:r w:rsidR="00B2741E" w:rsidRPr="005938BE">
        <w:rPr>
          <w:rFonts w:ascii="Arial" w:eastAsia="Times New Roman" w:hAnsi="Arial" w:cs="Arial"/>
          <w:kern w:val="0"/>
          <w:sz w:val="22"/>
          <w:szCs w:val="22"/>
          <w:lang w:eastAsia="en-GB"/>
          <w14:ligatures w14:val="none"/>
        </w:rPr>
        <w:t xml:space="preserve"> we can address all issues together and have a clear strategy for improving equity, diversity, and inclusion in our organisation.</w:t>
      </w:r>
    </w:p>
    <w:p w14:paraId="6788E95E" w14:textId="0AD3E4E0" w:rsidR="005938BE" w:rsidRPr="005938BE" w:rsidRDefault="00A51561" w:rsidP="00561F06">
      <w:pPr>
        <w:spacing w:before="100" w:beforeAutospacing="1" w:after="100" w:afterAutospacing="1" w:line="300" w:lineRule="atLeast"/>
        <w:rPr>
          <w:rFonts w:ascii="Arial" w:eastAsia="Times New Roman" w:hAnsi="Arial" w:cs="Arial"/>
          <w:kern w:val="0"/>
          <w:sz w:val="22"/>
          <w:szCs w:val="22"/>
          <w:lang w:eastAsia="en-GB"/>
          <w14:ligatures w14:val="none"/>
        </w:rPr>
      </w:pPr>
      <w:r w:rsidRPr="005938BE">
        <w:rPr>
          <w:rFonts w:ascii="Arial" w:eastAsia="Times New Roman" w:hAnsi="Arial" w:cs="Arial"/>
          <w:b/>
          <w:bCs/>
          <w:kern w:val="0"/>
          <w:sz w:val="22"/>
          <w:szCs w:val="22"/>
          <w:lang w:eastAsia="en-GB"/>
          <w14:ligatures w14:val="none"/>
        </w:rPr>
        <w:t>A</w:t>
      </w:r>
      <w:r w:rsidR="001769DA" w:rsidRPr="005938BE">
        <w:rPr>
          <w:rFonts w:ascii="Arial" w:eastAsia="Times New Roman" w:hAnsi="Arial" w:cs="Arial"/>
          <w:b/>
          <w:bCs/>
          <w:kern w:val="0"/>
          <w:sz w:val="22"/>
          <w:szCs w:val="22"/>
          <w:lang w:eastAsia="en-GB"/>
          <w14:ligatures w14:val="none"/>
        </w:rPr>
        <w:t>ppendices</w:t>
      </w:r>
      <w:r w:rsidR="00B82C13" w:rsidRPr="005938BE">
        <w:rPr>
          <w:rFonts w:ascii="Arial" w:eastAsia="Times New Roman" w:hAnsi="Arial" w:cs="Arial"/>
          <w:b/>
          <w:bCs/>
          <w:kern w:val="0"/>
          <w:sz w:val="22"/>
          <w:szCs w:val="22"/>
          <w:lang w:eastAsia="en-GB"/>
          <w14:ligatures w14:val="none"/>
        </w:rPr>
        <w:t xml:space="preserve">: </w:t>
      </w:r>
      <w:r w:rsidR="001769DA" w:rsidRPr="005938BE">
        <w:rPr>
          <w:rFonts w:ascii="Arial" w:eastAsia="Times New Roman" w:hAnsi="Arial" w:cs="Arial"/>
          <w:kern w:val="0"/>
          <w:sz w:val="22"/>
          <w:szCs w:val="22"/>
          <w:lang w:eastAsia="en-GB"/>
          <w14:ligatures w14:val="none"/>
        </w:rPr>
        <w:t>The full</w:t>
      </w:r>
      <w:r w:rsidR="001769DA" w:rsidRPr="005938BE">
        <w:rPr>
          <w:rFonts w:ascii="Arial" w:eastAsia="Times New Roman" w:hAnsi="Arial" w:cs="Arial"/>
          <w:b/>
          <w:bCs/>
          <w:kern w:val="0"/>
          <w:sz w:val="22"/>
          <w:szCs w:val="22"/>
          <w:lang w:eastAsia="en-GB"/>
          <w14:ligatures w14:val="none"/>
        </w:rPr>
        <w:t xml:space="preserve"> Gender Pay Gap Report </w:t>
      </w:r>
      <w:r w:rsidR="00773594" w:rsidRPr="005938BE">
        <w:rPr>
          <w:rFonts w:ascii="Arial" w:eastAsia="Times New Roman" w:hAnsi="Arial" w:cs="Arial"/>
          <w:b/>
          <w:bCs/>
          <w:kern w:val="0"/>
          <w:sz w:val="22"/>
          <w:szCs w:val="22"/>
          <w:lang w:eastAsia="en-GB"/>
          <w14:ligatures w14:val="none"/>
        </w:rPr>
        <w:t>(Appendix A</w:t>
      </w:r>
      <w:proofErr w:type="gramStart"/>
      <w:r w:rsidR="00773594" w:rsidRPr="005938BE">
        <w:rPr>
          <w:rFonts w:ascii="Arial" w:eastAsia="Times New Roman" w:hAnsi="Arial" w:cs="Arial"/>
          <w:b/>
          <w:bCs/>
          <w:kern w:val="0"/>
          <w:sz w:val="22"/>
          <w:szCs w:val="22"/>
          <w:lang w:eastAsia="en-GB"/>
          <w14:ligatures w14:val="none"/>
        </w:rPr>
        <w:t>)</w:t>
      </w:r>
      <w:proofErr w:type="gramEnd"/>
      <w:r w:rsidR="00773594" w:rsidRPr="005938BE">
        <w:rPr>
          <w:rFonts w:ascii="Arial" w:eastAsia="Times New Roman" w:hAnsi="Arial" w:cs="Arial"/>
          <w:b/>
          <w:bCs/>
          <w:kern w:val="0"/>
          <w:sz w:val="22"/>
          <w:szCs w:val="22"/>
          <w:lang w:eastAsia="en-GB"/>
          <w14:ligatures w14:val="none"/>
        </w:rPr>
        <w:t xml:space="preserve"> </w:t>
      </w:r>
      <w:r w:rsidR="001769DA" w:rsidRPr="007F5085">
        <w:rPr>
          <w:rFonts w:ascii="Arial" w:eastAsia="Times New Roman" w:hAnsi="Arial" w:cs="Arial"/>
          <w:kern w:val="0"/>
          <w:sz w:val="22"/>
          <w:szCs w:val="22"/>
          <w:lang w:eastAsia="en-GB"/>
          <w14:ligatures w14:val="none"/>
        </w:rPr>
        <w:t>and</w:t>
      </w:r>
      <w:r w:rsidR="001769DA" w:rsidRPr="005938BE">
        <w:rPr>
          <w:rFonts w:ascii="Arial" w:eastAsia="Times New Roman" w:hAnsi="Arial" w:cs="Arial"/>
          <w:b/>
          <w:bCs/>
          <w:kern w:val="0"/>
          <w:sz w:val="22"/>
          <w:szCs w:val="22"/>
          <w:lang w:eastAsia="en-GB"/>
          <w14:ligatures w14:val="none"/>
        </w:rPr>
        <w:t xml:space="preserve"> Ethnicity Pay Gap Report</w:t>
      </w:r>
      <w:r w:rsidR="00773594" w:rsidRPr="005938BE">
        <w:rPr>
          <w:rFonts w:ascii="Arial" w:eastAsia="Times New Roman" w:hAnsi="Arial" w:cs="Arial"/>
          <w:b/>
          <w:bCs/>
          <w:kern w:val="0"/>
          <w:sz w:val="22"/>
          <w:szCs w:val="22"/>
          <w:lang w:eastAsia="en-GB"/>
          <w14:ligatures w14:val="none"/>
        </w:rPr>
        <w:t xml:space="preserve"> (Appendix B)</w:t>
      </w:r>
      <w:r w:rsidR="001769DA" w:rsidRPr="005938BE">
        <w:rPr>
          <w:rFonts w:ascii="Arial" w:eastAsia="Times New Roman" w:hAnsi="Arial" w:cs="Arial"/>
          <w:kern w:val="0"/>
          <w:sz w:val="22"/>
          <w:szCs w:val="22"/>
          <w:lang w:eastAsia="en-GB"/>
          <w14:ligatures w14:val="none"/>
        </w:rPr>
        <w:t xml:space="preserve"> are included in the appendices, with </w:t>
      </w:r>
      <w:r w:rsidR="001769DA" w:rsidRPr="005938BE">
        <w:rPr>
          <w:rFonts w:ascii="Arial" w:eastAsia="Times New Roman" w:hAnsi="Arial" w:cs="Arial"/>
          <w:b/>
          <w:bCs/>
          <w:kern w:val="0"/>
          <w:sz w:val="22"/>
          <w:szCs w:val="22"/>
          <w:lang w:eastAsia="en-GB"/>
          <w14:ligatures w14:val="none"/>
        </w:rPr>
        <w:t xml:space="preserve">detailed analysis and </w:t>
      </w:r>
      <w:r w:rsidR="001769DA" w:rsidRPr="005938BE">
        <w:rPr>
          <w:rFonts w:ascii="Arial" w:eastAsia="Times New Roman" w:hAnsi="Arial" w:cs="Arial"/>
          <w:kern w:val="0"/>
          <w:sz w:val="22"/>
          <w:szCs w:val="22"/>
          <w:lang w:eastAsia="en-GB"/>
          <w14:ligatures w14:val="none"/>
        </w:rPr>
        <w:t>recommendations for future action.</w:t>
      </w:r>
    </w:p>
    <w:p w14:paraId="7E001C85" w14:textId="77777777" w:rsidR="005938BE" w:rsidRDefault="005938BE" w:rsidP="00561F06">
      <w:pPr>
        <w:spacing w:before="100" w:beforeAutospacing="1" w:after="100" w:afterAutospacing="1" w:line="300" w:lineRule="atLeast"/>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br w:type="page"/>
      </w:r>
    </w:p>
    <w:p w14:paraId="6D5DCDE5" w14:textId="5E32D1A4" w:rsidR="005938BE" w:rsidRPr="005938BE" w:rsidRDefault="005938BE" w:rsidP="00561F06">
      <w:pPr>
        <w:spacing w:before="100" w:beforeAutospacing="1" w:after="100" w:afterAutospacing="1" w:line="300" w:lineRule="atLeast"/>
        <w:rPr>
          <w:rFonts w:ascii="Arial" w:hAnsi="Arial" w:cs="Arial"/>
          <w:sz w:val="28"/>
          <w:szCs w:val="28"/>
        </w:rPr>
      </w:pPr>
      <w:r w:rsidRPr="005938BE">
        <w:rPr>
          <w:rFonts w:ascii="Arial" w:hAnsi="Arial" w:cs="Arial"/>
          <w:b/>
          <w:bCs/>
          <w:sz w:val="28"/>
          <w:szCs w:val="28"/>
        </w:rPr>
        <w:lastRenderedPageBreak/>
        <w:t>Appendix A: Gender Pay Gap Report – South West Yorkshire Partnership NHS Trust (2025)</w:t>
      </w:r>
    </w:p>
    <w:p w14:paraId="42B0AB60" w14:textId="77777777" w:rsidR="005938BE" w:rsidRPr="005938BE" w:rsidRDefault="005938BE" w:rsidP="00561F06">
      <w:pPr>
        <w:spacing w:before="100" w:beforeAutospacing="1" w:after="100" w:afterAutospacing="1" w:line="300" w:lineRule="atLeast"/>
        <w:rPr>
          <w:rFonts w:ascii="Arial" w:hAnsi="Arial" w:cs="Arial"/>
        </w:rPr>
      </w:pPr>
      <w:r w:rsidRPr="005938BE">
        <w:rPr>
          <w:rFonts w:ascii="Arial" w:hAnsi="Arial" w:cs="Arial"/>
          <w:b/>
          <w:bCs/>
        </w:rPr>
        <w:t>Introduction</w:t>
      </w:r>
    </w:p>
    <w:p w14:paraId="0EAB4BFB"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South West Yorkshire Partnership NHS Foundation Trust (</w:t>
      </w:r>
      <w:bookmarkStart w:id="0" w:name="_Hlk197510590"/>
      <w:r w:rsidRPr="005938BE">
        <w:rPr>
          <w:rFonts w:ascii="Arial" w:hAnsi="Arial" w:cs="Arial"/>
          <w:sz w:val="22"/>
          <w:szCs w:val="22"/>
        </w:rPr>
        <w:t>SWYPFT</w:t>
      </w:r>
      <w:bookmarkEnd w:id="0"/>
      <w:r w:rsidRPr="005938BE">
        <w:rPr>
          <w:rFonts w:ascii="Arial" w:hAnsi="Arial" w:cs="Arial"/>
          <w:sz w:val="22"/>
          <w:szCs w:val="22"/>
        </w:rPr>
        <w:t xml:space="preserve">) has a legal duty to report its gender pay gap annually. The gender pay gap reflects the </w:t>
      </w:r>
      <w:r w:rsidRPr="005938BE">
        <w:rPr>
          <w:rFonts w:ascii="Arial" w:hAnsi="Arial" w:cs="Arial"/>
          <w:b/>
          <w:bCs/>
          <w:sz w:val="22"/>
          <w:szCs w:val="22"/>
        </w:rPr>
        <w:t>difference in average pay between men and women across the entire organisation</w:t>
      </w:r>
      <w:r w:rsidRPr="005938BE">
        <w:rPr>
          <w:rFonts w:ascii="Arial" w:hAnsi="Arial" w:cs="Arial"/>
          <w:sz w:val="22"/>
          <w:szCs w:val="22"/>
        </w:rPr>
        <w:t xml:space="preserve"> and is distinct from equal pay (which compares pay for the same job). </w:t>
      </w:r>
    </w:p>
    <w:p w14:paraId="2D0626AA" w14:textId="232E8C61"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This report presents the Trust’s latest gender pay gap figures (snapshot as of March 2025) and examines how they have changed since 2018. It also compares the Trust’s position with broader NHS and UK benchmarks, using data from authoritative sources (NHS and ONS).</w:t>
      </w:r>
    </w:p>
    <w:p w14:paraId="67DBCD84" w14:textId="77777777" w:rsidR="005938BE" w:rsidRPr="005938BE" w:rsidRDefault="005938BE" w:rsidP="00561F06">
      <w:pPr>
        <w:spacing w:before="100" w:beforeAutospacing="1" w:after="100" w:afterAutospacing="1" w:line="300" w:lineRule="atLeast"/>
        <w:rPr>
          <w:rFonts w:ascii="Arial" w:hAnsi="Arial" w:cs="Arial"/>
        </w:rPr>
      </w:pPr>
      <w:r w:rsidRPr="005938BE">
        <w:rPr>
          <w:rFonts w:ascii="Arial" w:hAnsi="Arial" w:cs="Arial"/>
          <w:b/>
          <w:bCs/>
        </w:rPr>
        <w:t>Current Pay Gap (March 2025) – Averages and Medians</w:t>
      </w:r>
    </w:p>
    <w:p w14:paraId="76683397"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In the March 2025 snapshot, </w:t>
      </w:r>
      <w:r w:rsidRPr="005938BE">
        <w:rPr>
          <w:rFonts w:ascii="Arial" w:hAnsi="Arial" w:cs="Arial"/>
          <w:b/>
          <w:bCs/>
          <w:sz w:val="22"/>
          <w:szCs w:val="22"/>
        </w:rPr>
        <w:t>male employees had higher average and median hourly pay than female employees</w:t>
      </w:r>
      <w:r w:rsidRPr="005938BE">
        <w:rPr>
          <w:rFonts w:ascii="Arial" w:hAnsi="Arial" w:cs="Arial"/>
          <w:sz w:val="22"/>
          <w:szCs w:val="22"/>
        </w:rPr>
        <w:t xml:space="preserve"> at SWYPFT:</w:t>
      </w:r>
    </w:p>
    <w:p w14:paraId="1690249D"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eastAsia="Times New Roman" w:hAnsi="Arial" w:cs="Arial"/>
          <w:noProof/>
          <w:sz w:val="22"/>
          <w:szCs w:val="22"/>
        </w:rPr>
        <w:drawing>
          <wp:inline distT="0" distB="0" distL="0" distR="0" wp14:anchorId="69A8768C" wp14:editId="2ADB5A1D">
            <wp:extent cx="4457700" cy="2734576"/>
            <wp:effectExtent l="0" t="0" r="0" b="8890"/>
            <wp:docPr id="571620911" name="Picture 1" descr="A graph showing the average and median salary pay by gen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20911" name="Picture 1" descr="A graph showing the average and median salary pay by gender&#10;&#10;AI-generated content may be incorrect."/>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4465284" cy="2739228"/>
                    </a:xfrm>
                    <a:prstGeom prst="rect">
                      <a:avLst/>
                    </a:prstGeom>
                    <a:noFill/>
                    <a:ln>
                      <a:noFill/>
                    </a:ln>
                  </pic:spPr>
                </pic:pic>
              </a:graphicData>
            </a:graphic>
          </wp:inline>
        </w:drawing>
      </w:r>
    </w:p>
    <w:p w14:paraId="32D95F25"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Figure 1: Average vs Median Hourly Pay by Gender (SWYPFT, 2025). Men’s mean hourly rate is £22.70 vs £19.56 for women, a difference of £3.15 (13.9% gap). The median hourly pay is £19.55 for men and £18.57 for women, a £0.98 difference (5.0% gap).</w:t>
      </w:r>
    </w:p>
    <w:p w14:paraId="5823EC8D" w14:textId="77777777" w:rsidR="005938BE" w:rsidRPr="005938BE" w:rsidRDefault="005938BE" w:rsidP="00561F06">
      <w:pPr>
        <w:numPr>
          <w:ilvl w:val="0"/>
          <w:numId w:val="1"/>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 xml:space="preserve">Mean hourly pay (2025): </w:t>
      </w:r>
      <w:r w:rsidRPr="005938BE">
        <w:rPr>
          <w:rFonts w:ascii="Arial" w:hAnsi="Arial" w:cs="Arial"/>
          <w:sz w:val="22"/>
          <w:szCs w:val="22"/>
        </w:rPr>
        <w:t xml:space="preserve">Men £22.70, Women £19.56 – </w:t>
      </w:r>
      <w:r w:rsidRPr="005938BE">
        <w:rPr>
          <w:rFonts w:ascii="Arial" w:hAnsi="Arial" w:cs="Arial"/>
          <w:b/>
          <w:bCs/>
          <w:sz w:val="22"/>
          <w:szCs w:val="22"/>
        </w:rPr>
        <w:t>Pay Gap 13.9%</w:t>
      </w:r>
      <w:r w:rsidRPr="005938BE">
        <w:rPr>
          <w:rFonts w:ascii="Arial" w:hAnsi="Arial" w:cs="Arial"/>
          <w:sz w:val="22"/>
          <w:szCs w:val="22"/>
        </w:rPr>
        <w:t xml:space="preserve"> (women earn 86p for every £1 men earn on average).</w:t>
      </w:r>
    </w:p>
    <w:p w14:paraId="7536BC74" w14:textId="77777777" w:rsidR="005938BE" w:rsidRPr="005938BE" w:rsidRDefault="005938BE" w:rsidP="00561F06">
      <w:pPr>
        <w:numPr>
          <w:ilvl w:val="0"/>
          <w:numId w:val="1"/>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Median hourly pay (2025):</w:t>
      </w:r>
      <w:r w:rsidRPr="005938BE">
        <w:rPr>
          <w:rFonts w:ascii="Arial" w:hAnsi="Arial" w:cs="Arial"/>
          <w:sz w:val="22"/>
          <w:szCs w:val="22"/>
        </w:rPr>
        <w:t xml:space="preserve"> Men £19.55, Women £18.57 – </w:t>
      </w:r>
      <w:r w:rsidRPr="005938BE">
        <w:rPr>
          <w:rFonts w:ascii="Arial" w:hAnsi="Arial" w:cs="Arial"/>
          <w:b/>
          <w:bCs/>
          <w:sz w:val="22"/>
          <w:szCs w:val="22"/>
        </w:rPr>
        <w:t>Pay Gap 5.0%</w:t>
      </w:r>
      <w:r w:rsidRPr="005938BE">
        <w:rPr>
          <w:rFonts w:ascii="Arial" w:hAnsi="Arial" w:cs="Arial"/>
          <w:sz w:val="22"/>
          <w:szCs w:val="22"/>
        </w:rPr>
        <w:t xml:space="preserve"> (at the midpoint, women earn 95p for every £1 men earn).</w:t>
      </w:r>
    </w:p>
    <w:p w14:paraId="0AE37EC4" w14:textId="4BCC1B69" w:rsidR="005938BE" w:rsidRPr="00561F06"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These figures indicate that while the </w:t>
      </w:r>
      <w:r w:rsidRPr="005938BE">
        <w:rPr>
          <w:rFonts w:ascii="Arial" w:hAnsi="Arial" w:cs="Arial"/>
          <w:b/>
          <w:bCs/>
          <w:sz w:val="22"/>
          <w:szCs w:val="22"/>
        </w:rPr>
        <w:t>average pay</w:t>
      </w:r>
      <w:r w:rsidRPr="005938BE">
        <w:rPr>
          <w:rFonts w:ascii="Arial" w:hAnsi="Arial" w:cs="Arial"/>
          <w:sz w:val="22"/>
          <w:szCs w:val="22"/>
        </w:rPr>
        <w:t xml:space="preserve"> gap is sizeable (driven by more men in higher-paid roles, as discussed later), the </w:t>
      </w:r>
      <w:r w:rsidRPr="005938BE">
        <w:rPr>
          <w:rFonts w:ascii="Arial" w:hAnsi="Arial" w:cs="Arial"/>
          <w:b/>
          <w:bCs/>
          <w:sz w:val="22"/>
          <w:szCs w:val="22"/>
        </w:rPr>
        <w:t>median gap</w:t>
      </w:r>
      <w:r w:rsidRPr="005938BE">
        <w:rPr>
          <w:rFonts w:ascii="Arial" w:hAnsi="Arial" w:cs="Arial"/>
          <w:sz w:val="22"/>
          <w:szCs w:val="22"/>
        </w:rPr>
        <w:t xml:space="preserve"> is much smaller. A low median gap suggests that at the middle of the pay distribution, male and female earnings are close. This </w:t>
      </w:r>
      <w:r w:rsidRPr="005938BE">
        <w:rPr>
          <w:rFonts w:ascii="Arial" w:hAnsi="Arial" w:cs="Arial"/>
          <w:sz w:val="22"/>
          <w:szCs w:val="22"/>
        </w:rPr>
        <w:lastRenderedPageBreak/>
        <w:t>often reflects the effect of national NHS pay scales which ensure similar pay for equivalent roles, combined with the Trust’s workforce composition.</w:t>
      </w:r>
    </w:p>
    <w:p w14:paraId="6EEF9D40" w14:textId="656FBE46" w:rsidR="005938BE" w:rsidRPr="005938BE" w:rsidRDefault="005938BE" w:rsidP="00561F06">
      <w:pPr>
        <w:spacing w:before="100" w:beforeAutospacing="1" w:after="100" w:afterAutospacing="1" w:line="300" w:lineRule="atLeast"/>
        <w:rPr>
          <w:rFonts w:ascii="Arial" w:hAnsi="Arial" w:cs="Arial"/>
        </w:rPr>
      </w:pPr>
      <w:r w:rsidRPr="005938BE">
        <w:rPr>
          <w:rFonts w:ascii="Arial" w:hAnsi="Arial" w:cs="Arial"/>
          <w:b/>
          <w:bCs/>
        </w:rPr>
        <w:t>Pay Quartile Distribution (2025)</w:t>
      </w:r>
    </w:p>
    <w:p w14:paraId="7970991B" w14:textId="77777777" w:rsidR="005938BE" w:rsidRPr="005938BE" w:rsidRDefault="005938BE" w:rsidP="00561F06">
      <w:pPr>
        <w:spacing w:before="100" w:beforeAutospacing="1" w:after="100" w:afterAutospacing="1" w:line="300" w:lineRule="atLeast"/>
        <w:rPr>
          <w:rFonts w:ascii="Arial" w:hAnsi="Arial" w:cs="Arial"/>
          <w:b/>
          <w:bCs/>
          <w:sz w:val="22"/>
          <w:szCs w:val="22"/>
        </w:rPr>
      </w:pPr>
      <w:r w:rsidRPr="005938BE">
        <w:rPr>
          <w:rFonts w:ascii="Arial" w:hAnsi="Arial" w:cs="Arial"/>
          <w:sz w:val="22"/>
          <w:szCs w:val="22"/>
        </w:rPr>
        <w:t xml:space="preserve">Examining the gender composition by pay quartiles reveals how men and women are distributed across salary levels. The workforce is </w:t>
      </w:r>
      <w:bookmarkStart w:id="1" w:name="_Int_dsCYYsuu"/>
      <w:r w:rsidRPr="005938BE">
        <w:rPr>
          <w:rFonts w:ascii="Arial" w:hAnsi="Arial" w:cs="Arial"/>
          <w:sz w:val="22"/>
          <w:szCs w:val="22"/>
        </w:rPr>
        <w:t>predominantly female</w:t>
      </w:r>
      <w:bookmarkEnd w:id="1"/>
      <w:r w:rsidRPr="005938BE">
        <w:rPr>
          <w:rFonts w:ascii="Arial" w:hAnsi="Arial" w:cs="Arial"/>
          <w:sz w:val="22"/>
          <w:szCs w:val="22"/>
        </w:rPr>
        <w:t xml:space="preserve"> (about </w:t>
      </w:r>
      <w:r w:rsidRPr="005938BE">
        <w:rPr>
          <w:rFonts w:ascii="Arial" w:hAnsi="Arial" w:cs="Arial"/>
          <w:b/>
          <w:bCs/>
          <w:sz w:val="22"/>
          <w:szCs w:val="22"/>
        </w:rPr>
        <w:t>76%</w:t>
      </w:r>
      <w:r w:rsidRPr="005938BE">
        <w:rPr>
          <w:rFonts w:ascii="Arial" w:hAnsi="Arial" w:cs="Arial"/>
          <w:sz w:val="22"/>
          <w:szCs w:val="22"/>
        </w:rPr>
        <w:t xml:space="preserve"> overall), but </w:t>
      </w:r>
      <w:r w:rsidRPr="005938BE">
        <w:rPr>
          <w:rFonts w:ascii="Arial" w:hAnsi="Arial" w:cs="Arial"/>
          <w:b/>
          <w:bCs/>
          <w:sz w:val="22"/>
          <w:szCs w:val="22"/>
        </w:rPr>
        <w:t>women are especially concentrated in lower pay quartiles:</w:t>
      </w:r>
    </w:p>
    <w:p w14:paraId="6FAEA08F"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eastAsia="Times New Roman" w:hAnsi="Arial" w:cs="Arial"/>
          <w:noProof/>
          <w:sz w:val="22"/>
          <w:szCs w:val="22"/>
        </w:rPr>
        <w:drawing>
          <wp:inline distT="0" distB="0" distL="0" distR="0" wp14:anchorId="5B6EA1A3" wp14:editId="6610BACE">
            <wp:extent cx="4745031" cy="2910840"/>
            <wp:effectExtent l="0" t="0" r="0" b="3810"/>
            <wp:docPr id="871501663" name="Picture 2"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01663" name="Picture 2" descr="A graph of different colored squares&#10;&#10;AI-generated content may be incorrect."/>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4757700" cy="2918612"/>
                    </a:xfrm>
                    <a:prstGeom prst="rect">
                      <a:avLst/>
                    </a:prstGeom>
                    <a:noFill/>
                    <a:ln>
                      <a:noFill/>
                    </a:ln>
                  </pic:spPr>
                </pic:pic>
              </a:graphicData>
            </a:graphic>
          </wp:inline>
        </w:drawing>
      </w:r>
    </w:p>
    <w:p w14:paraId="1952829E"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Figure 2: Gender Composition by Pay Quartile (SWYPFT, 2025). Each bar represents a pay quartile (lowest to highest). Orange = female%, Blue = male%. Women form 81% of the lowest-paid quartile, gradually dropping to 70% in the top quartile.</w:t>
      </w:r>
    </w:p>
    <w:p w14:paraId="0D6993D6" w14:textId="77777777" w:rsidR="005938BE" w:rsidRPr="005938BE" w:rsidRDefault="005938BE" w:rsidP="00561F06">
      <w:pPr>
        <w:numPr>
          <w:ilvl w:val="0"/>
          <w:numId w:val="2"/>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Lower Quartile (lowest pay group):</w:t>
      </w:r>
      <w:r w:rsidRPr="005938BE">
        <w:rPr>
          <w:rFonts w:ascii="Arial" w:hAnsi="Arial" w:cs="Arial"/>
          <w:sz w:val="22"/>
          <w:szCs w:val="22"/>
        </w:rPr>
        <w:t xml:space="preserve"> 81.1% female vs 18.9% male.</w:t>
      </w:r>
    </w:p>
    <w:p w14:paraId="26592135" w14:textId="77777777" w:rsidR="005938BE" w:rsidRPr="005938BE" w:rsidRDefault="005938BE" w:rsidP="00561F06">
      <w:pPr>
        <w:numPr>
          <w:ilvl w:val="0"/>
          <w:numId w:val="2"/>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Lower-Middle Quartile:</w:t>
      </w:r>
      <w:r w:rsidRPr="005938BE">
        <w:rPr>
          <w:rFonts w:ascii="Arial" w:hAnsi="Arial" w:cs="Arial"/>
          <w:sz w:val="22"/>
          <w:szCs w:val="22"/>
        </w:rPr>
        <w:t xml:space="preserve"> 74.9% female vs 25.1% male.</w:t>
      </w:r>
    </w:p>
    <w:p w14:paraId="445BA507" w14:textId="77777777" w:rsidR="005938BE" w:rsidRPr="005938BE" w:rsidRDefault="005938BE" w:rsidP="00561F06">
      <w:pPr>
        <w:numPr>
          <w:ilvl w:val="0"/>
          <w:numId w:val="2"/>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Upper-Middle Quartile:</w:t>
      </w:r>
      <w:r w:rsidRPr="005938BE">
        <w:rPr>
          <w:rFonts w:ascii="Arial" w:hAnsi="Arial" w:cs="Arial"/>
          <w:sz w:val="22"/>
          <w:szCs w:val="22"/>
        </w:rPr>
        <w:t xml:space="preserve"> 78.4% female vs 21.6% male.</w:t>
      </w:r>
    </w:p>
    <w:p w14:paraId="0AD6CEEB" w14:textId="77777777" w:rsidR="005938BE" w:rsidRPr="005938BE" w:rsidRDefault="005938BE" w:rsidP="00561F06">
      <w:pPr>
        <w:numPr>
          <w:ilvl w:val="0"/>
          <w:numId w:val="2"/>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Upper Quartile (highest pay group):</w:t>
      </w:r>
      <w:r w:rsidRPr="005938BE">
        <w:rPr>
          <w:rFonts w:ascii="Arial" w:hAnsi="Arial" w:cs="Arial"/>
          <w:sz w:val="22"/>
          <w:szCs w:val="22"/>
        </w:rPr>
        <w:t xml:space="preserve"> 70.2% female vs 29.8% male.</w:t>
      </w:r>
    </w:p>
    <w:p w14:paraId="6490452C" w14:textId="7044717E"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This quartile breakdown shows </w:t>
      </w:r>
      <w:r w:rsidRPr="005938BE">
        <w:rPr>
          <w:rFonts w:ascii="Arial" w:hAnsi="Arial" w:cs="Arial"/>
          <w:b/>
          <w:bCs/>
          <w:sz w:val="22"/>
          <w:szCs w:val="22"/>
        </w:rPr>
        <w:t>men are a smaller minority in lower-paid roles and a larger minority in higher-paid roles.</w:t>
      </w:r>
      <w:r w:rsidRPr="005938BE">
        <w:rPr>
          <w:rFonts w:ascii="Arial" w:hAnsi="Arial" w:cs="Arial"/>
          <w:sz w:val="22"/>
          <w:szCs w:val="22"/>
        </w:rPr>
        <w:t xml:space="preserve"> In the highest pay quartile 30% of staff are male, significantly above their representation in the lowest quartile (19%). </w:t>
      </w:r>
      <w:r w:rsidRPr="005938BE">
        <w:rPr>
          <w:rFonts w:ascii="Arial" w:hAnsi="Arial" w:cs="Arial"/>
          <w:b/>
          <w:bCs/>
          <w:sz w:val="22"/>
          <w:szCs w:val="22"/>
        </w:rPr>
        <w:t xml:space="preserve">Women still hold </w:t>
      </w:r>
      <w:bookmarkStart w:id="2" w:name="_Int_W5HqH82T"/>
      <w:r w:rsidRPr="005938BE">
        <w:rPr>
          <w:rFonts w:ascii="Arial" w:hAnsi="Arial" w:cs="Arial"/>
          <w:b/>
          <w:bCs/>
          <w:sz w:val="22"/>
          <w:szCs w:val="22"/>
        </w:rPr>
        <w:t>the majority of</w:t>
      </w:r>
      <w:bookmarkEnd w:id="2"/>
      <w:r w:rsidRPr="005938BE">
        <w:rPr>
          <w:rFonts w:ascii="Arial" w:hAnsi="Arial" w:cs="Arial"/>
          <w:b/>
          <w:bCs/>
          <w:sz w:val="22"/>
          <w:szCs w:val="22"/>
        </w:rPr>
        <w:t xml:space="preserve"> roles in every pay quartile</w:t>
      </w:r>
      <w:r w:rsidRPr="005938BE">
        <w:rPr>
          <w:rFonts w:ascii="Arial" w:hAnsi="Arial" w:cs="Arial"/>
          <w:sz w:val="22"/>
          <w:szCs w:val="22"/>
        </w:rPr>
        <w:t xml:space="preserve">, but the declining female percentage in the upper quartile indicates that </w:t>
      </w:r>
      <w:r w:rsidRPr="005938BE">
        <w:rPr>
          <w:rFonts w:ascii="Arial" w:hAnsi="Arial" w:cs="Arial"/>
          <w:b/>
          <w:bCs/>
          <w:sz w:val="22"/>
          <w:szCs w:val="22"/>
        </w:rPr>
        <w:t>men are more likely to occupy the top-paying positions</w:t>
      </w:r>
      <w:r w:rsidRPr="005938BE">
        <w:rPr>
          <w:rFonts w:ascii="Arial" w:hAnsi="Arial" w:cs="Arial"/>
          <w:sz w:val="22"/>
          <w:szCs w:val="22"/>
        </w:rPr>
        <w:t>. This imbalance in senior and higher-paid roles is a key driver of the overall pay gap.</w:t>
      </w:r>
    </w:p>
    <w:p w14:paraId="0DBA999B" w14:textId="77777777" w:rsidR="005938BE" w:rsidRPr="00561F06" w:rsidRDefault="005938BE" w:rsidP="00561F06">
      <w:pPr>
        <w:spacing w:before="100" w:beforeAutospacing="1" w:after="100" w:afterAutospacing="1" w:line="300" w:lineRule="atLeast"/>
        <w:rPr>
          <w:rFonts w:ascii="Arial" w:hAnsi="Arial" w:cs="Arial"/>
        </w:rPr>
      </w:pPr>
      <w:r w:rsidRPr="00561F06">
        <w:rPr>
          <w:rFonts w:ascii="Arial" w:hAnsi="Arial" w:cs="Arial"/>
          <w:b/>
          <w:bCs/>
        </w:rPr>
        <w:t>Trend Analysis (2018–2025)</w:t>
      </w:r>
    </w:p>
    <w:p w14:paraId="4AA38302"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The Trust’s gender pay gap has narrowed over the past several years. Figure 3 illustrates the year-by-year trend in the mean and median pay gap percentages from 2018 through 2025:</w:t>
      </w:r>
    </w:p>
    <w:p w14:paraId="7DE5CA4D"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lastRenderedPageBreak/>
        <w:t>Figure 3: Trend in Gender Pay Gap (Mean and Median) at SWYPFT, 2018–2025. Both measures show an overall downward trend (improving). The mean gap (blue line) peaked above 20% in 2019 and has fallen to 13.9% by 2025. The median gap (orange line) dropped dramatically after 2021, reaching 5.0% in 2025.</w:t>
      </w:r>
    </w:p>
    <w:p w14:paraId="738EDF5C"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eastAsia="Times New Roman" w:hAnsi="Arial" w:cs="Arial"/>
          <w:noProof/>
          <w:sz w:val="22"/>
          <w:szCs w:val="22"/>
        </w:rPr>
        <w:drawing>
          <wp:inline distT="0" distB="0" distL="0" distR="0" wp14:anchorId="16AC1573" wp14:editId="369DFD71">
            <wp:extent cx="4730525" cy="3108960"/>
            <wp:effectExtent l="0" t="0" r="0" b="0"/>
            <wp:docPr id="79534210" name="Picture 3" descr="A graph with a line and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4210" name="Picture 3" descr="A graph with a line and a line graph&#10;&#10;AI-generated content may be incorrect."/>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738253" cy="3114039"/>
                    </a:xfrm>
                    <a:prstGeom prst="rect">
                      <a:avLst/>
                    </a:prstGeom>
                    <a:noFill/>
                    <a:ln>
                      <a:noFill/>
                    </a:ln>
                  </pic:spPr>
                </pic:pic>
              </a:graphicData>
            </a:graphic>
          </wp:inline>
        </w:drawing>
      </w:r>
    </w:p>
    <w:p w14:paraId="4B1BC222" w14:textId="77777777" w:rsidR="005938BE" w:rsidRPr="00561F06" w:rsidRDefault="005938BE" w:rsidP="00561F06">
      <w:pPr>
        <w:spacing w:before="100" w:beforeAutospacing="1" w:after="100" w:afterAutospacing="1" w:line="300" w:lineRule="atLeast"/>
        <w:rPr>
          <w:rFonts w:ascii="Arial" w:hAnsi="Arial" w:cs="Arial"/>
          <w:b/>
          <w:bCs/>
        </w:rPr>
      </w:pPr>
      <w:r w:rsidRPr="00561F06">
        <w:rPr>
          <w:rFonts w:ascii="Arial" w:hAnsi="Arial" w:cs="Arial"/>
          <w:b/>
          <w:bCs/>
        </w:rPr>
        <w:t>Key observations:</w:t>
      </w:r>
    </w:p>
    <w:p w14:paraId="02F379FB" w14:textId="77777777" w:rsidR="005938BE" w:rsidRPr="005938BE" w:rsidRDefault="005938BE" w:rsidP="00561F06">
      <w:pPr>
        <w:numPr>
          <w:ilvl w:val="0"/>
          <w:numId w:val="3"/>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Mean Pay Gap</w:t>
      </w:r>
      <w:r w:rsidRPr="005938BE">
        <w:rPr>
          <w:rFonts w:ascii="Arial" w:hAnsi="Arial" w:cs="Arial"/>
          <w:sz w:val="22"/>
          <w:szCs w:val="22"/>
        </w:rPr>
        <w:t xml:space="preserve">: Fluctuated around 19–21% in 2018–2020, then </w:t>
      </w:r>
      <w:r w:rsidRPr="005938BE">
        <w:rPr>
          <w:rFonts w:ascii="Arial" w:hAnsi="Arial" w:cs="Arial"/>
          <w:b/>
          <w:bCs/>
          <w:sz w:val="22"/>
          <w:szCs w:val="22"/>
        </w:rPr>
        <w:t>decreased steadily</w:t>
      </w:r>
      <w:r w:rsidRPr="005938BE">
        <w:rPr>
          <w:rFonts w:ascii="Arial" w:hAnsi="Arial" w:cs="Arial"/>
          <w:sz w:val="22"/>
          <w:szCs w:val="22"/>
        </w:rPr>
        <w:t xml:space="preserve"> from 19.1% (2021) to 13.9% (2025). The mean gap is now about 6 percentage points lower than in 2018. This suggests progress in increasing female representation in higher-paid roles or narrowing of salary differences.</w:t>
      </w:r>
    </w:p>
    <w:p w14:paraId="519B4DAD" w14:textId="77777777" w:rsidR="005938BE" w:rsidRPr="005938BE" w:rsidRDefault="005938BE" w:rsidP="00561F06">
      <w:pPr>
        <w:numPr>
          <w:ilvl w:val="0"/>
          <w:numId w:val="3"/>
        </w:numPr>
        <w:spacing w:before="100" w:beforeAutospacing="1" w:after="100" w:afterAutospacing="1" w:line="300" w:lineRule="atLeast"/>
        <w:rPr>
          <w:rFonts w:ascii="Arial" w:hAnsi="Arial" w:cs="Arial"/>
          <w:sz w:val="22"/>
          <w:szCs w:val="22"/>
        </w:rPr>
      </w:pPr>
      <w:r w:rsidRPr="005938BE">
        <w:rPr>
          <w:rFonts w:ascii="Arial" w:hAnsi="Arial" w:cs="Arial"/>
          <w:b/>
          <w:bCs/>
          <w:sz w:val="22"/>
          <w:szCs w:val="22"/>
        </w:rPr>
        <w:t>Median Pay Gap</w:t>
      </w:r>
      <w:r w:rsidRPr="005938BE">
        <w:rPr>
          <w:rFonts w:ascii="Arial" w:hAnsi="Arial" w:cs="Arial"/>
          <w:sz w:val="22"/>
          <w:szCs w:val="22"/>
        </w:rPr>
        <w:t xml:space="preserve">: Held around 11–13% up to 2021, then </w:t>
      </w:r>
      <w:r w:rsidRPr="005938BE">
        <w:rPr>
          <w:rFonts w:ascii="Arial" w:hAnsi="Arial" w:cs="Arial"/>
          <w:b/>
          <w:bCs/>
          <w:sz w:val="22"/>
          <w:szCs w:val="22"/>
        </w:rPr>
        <w:t>sharply fell</w:t>
      </w:r>
      <w:r w:rsidRPr="005938BE">
        <w:rPr>
          <w:rFonts w:ascii="Arial" w:hAnsi="Arial" w:cs="Arial"/>
          <w:sz w:val="22"/>
          <w:szCs w:val="22"/>
        </w:rPr>
        <w:t xml:space="preserve"> to 6.6% in 2022 and has remained low, at 5.0% in 2025. The median gap reduction implies that the midpoint salaries for men and women have converged significantly in recent years. (The slight uptick to 8.7% in 2024, followed by a drop to </w:t>
      </w:r>
      <w:r w:rsidRPr="005938BE">
        <w:rPr>
          <w:rFonts w:ascii="Arial" w:hAnsi="Arial" w:cs="Arial"/>
          <w:b/>
          <w:bCs/>
          <w:sz w:val="22"/>
          <w:szCs w:val="22"/>
        </w:rPr>
        <w:t>5.0% in 2025</w:t>
      </w:r>
      <w:r w:rsidRPr="005938BE">
        <w:rPr>
          <w:rFonts w:ascii="Arial" w:hAnsi="Arial" w:cs="Arial"/>
          <w:sz w:val="22"/>
          <w:szCs w:val="22"/>
        </w:rPr>
        <w:t>, may reflect changes in the workforce structure or specific pay adjustments that temporarily affected the median.)</w:t>
      </w:r>
    </w:p>
    <w:p w14:paraId="68B15CDE" w14:textId="0CC2F3A0" w:rsidR="005938BE" w:rsidRPr="00561F06"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Overall, the trend is positive</w:t>
      </w:r>
      <w:r w:rsidRPr="005938BE">
        <w:rPr>
          <w:rFonts w:ascii="Arial" w:hAnsi="Arial" w:cs="Arial"/>
          <w:b/>
          <w:bCs/>
          <w:sz w:val="22"/>
          <w:szCs w:val="22"/>
        </w:rPr>
        <w:t>: both mean and median gaps have improved since 2018</w:t>
      </w:r>
      <w:r w:rsidRPr="005938BE">
        <w:rPr>
          <w:rFonts w:ascii="Arial" w:hAnsi="Arial" w:cs="Arial"/>
          <w:sz w:val="22"/>
          <w:szCs w:val="22"/>
        </w:rPr>
        <w:t>, with the median gap now indicating much more parity at the mid-salary level. The remaining mean gap confirms that some disparity persists at the top end of the pay spectrum, which aligns with the quartile data showing more men in the highest-paid roles.</w:t>
      </w:r>
    </w:p>
    <w:p w14:paraId="77449DE4" w14:textId="77777777" w:rsidR="005938BE" w:rsidRPr="00561F06" w:rsidRDefault="005938BE" w:rsidP="00561F06">
      <w:pPr>
        <w:spacing w:before="100" w:beforeAutospacing="1" w:after="100" w:afterAutospacing="1" w:line="300" w:lineRule="atLeast"/>
        <w:rPr>
          <w:rFonts w:ascii="Arial" w:hAnsi="Arial" w:cs="Arial"/>
        </w:rPr>
      </w:pPr>
      <w:r w:rsidRPr="00561F06">
        <w:rPr>
          <w:rFonts w:ascii="Arial" w:hAnsi="Arial" w:cs="Arial"/>
          <w:b/>
          <w:bCs/>
        </w:rPr>
        <w:t>Comparison with NHS Trusts in the Yorkshire and Humber Region</w:t>
      </w:r>
    </w:p>
    <w:p w14:paraId="0AB9DE1D" w14:textId="2E08F68D" w:rsidR="00561F06" w:rsidRPr="00561F06"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When benchmarking gender pay gap performance across </w:t>
      </w:r>
      <w:r w:rsidRPr="005938BE">
        <w:rPr>
          <w:rFonts w:ascii="Arial" w:hAnsi="Arial" w:cs="Arial"/>
          <w:b/>
          <w:bCs/>
          <w:sz w:val="22"/>
          <w:szCs w:val="22"/>
        </w:rPr>
        <w:t>Yorkshire and the Humber</w:t>
      </w:r>
      <w:r w:rsidRPr="005938BE">
        <w:rPr>
          <w:rFonts w:ascii="Arial" w:hAnsi="Arial" w:cs="Arial"/>
          <w:sz w:val="22"/>
          <w:szCs w:val="22"/>
        </w:rPr>
        <w:t xml:space="preserve"> </w:t>
      </w:r>
      <w:r w:rsidRPr="005938BE">
        <w:rPr>
          <w:rFonts w:ascii="Arial" w:hAnsi="Arial" w:cs="Arial"/>
          <w:b/>
          <w:bCs/>
          <w:sz w:val="22"/>
          <w:szCs w:val="22"/>
        </w:rPr>
        <w:t>NHS Trusts</w:t>
      </w:r>
      <w:r w:rsidRPr="005938BE">
        <w:rPr>
          <w:rFonts w:ascii="Arial" w:hAnsi="Arial" w:cs="Arial"/>
          <w:sz w:val="22"/>
          <w:szCs w:val="22"/>
        </w:rPr>
        <w:t xml:space="preserve">, South West Yorkshire Partnership NHS Foundation Trust (SWYPFT) stands out for its </w:t>
      </w:r>
      <w:bookmarkStart w:id="3" w:name="_Int_hox4eEJa"/>
      <w:r w:rsidRPr="005938BE">
        <w:rPr>
          <w:rFonts w:ascii="Arial" w:hAnsi="Arial" w:cs="Arial"/>
          <w:sz w:val="22"/>
          <w:szCs w:val="22"/>
        </w:rPr>
        <w:t xml:space="preserve">relatively </w:t>
      </w:r>
      <w:r w:rsidRPr="005938BE">
        <w:rPr>
          <w:rFonts w:ascii="Arial" w:hAnsi="Arial" w:cs="Arial"/>
          <w:b/>
          <w:bCs/>
          <w:sz w:val="22"/>
          <w:szCs w:val="22"/>
        </w:rPr>
        <w:t>low</w:t>
      </w:r>
      <w:bookmarkEnd w:id="3"/>
      <w:r w:rsidRPr="005938BE">
        <w:rPr>
          <w:rFonts w:ascii="Arial" w:hAnsi="Arial" w:cs="Arial"/>
          <w:b/>
          <w:bCs/>
          <w:sz w:val="22"/>
          <w:szCs w:val="22"/>
        </w:rPr>
        <w:t xml:space="preserve"> mean and median gaps</w:t>
      </w:r>
      <w:r w:rsidRPr="005938BE">
        <w:rPr>
          <w:rFonts w:ascii="Arial" w:hAnsi="Arial" w:cs="Arial"/>
          <w:sz w:val="22"/>
          <w:szCs w:val="22"/>
        </w:rPr>
        <w:t>, especially when compared to regional peers.</w:t>
      </w:r>
    </w:p>
    <w:p w14:paraId="6A63B3C6" w14:textId="10FB10A2" w:rsidR="005938BE" w:rsidRPr="00561F06" w:rsidRDefault="005938BE" w:rsidP="00561F06">
      <w:pPr>
        <w:spacing w:before="100" w:beforeAutospacing="1" w:after="100" w:afterAutospacing="1" w:line="300" w:lineRule="atLeast"/>
        <w:rPr>
          <w:rFonts w:ascii="Arial" w:hAnsi="Arial" w:cs="Arial"/>
        </w:rPr>
      </w:pPr>
      <w:r w:rsidRPr="00561F06">
        <w:rPr>
          <w:rFonts w:ascii="Arial" w:hAnsi="Arial" w:cs="Arial"/>
          <w:b/>
          <w:bCs/>
        </w:rPr>
        <w:lastRenderedPageBreak/>
        <w:t>Mean Gender Pay Gap</w:t>
      </w:r>
    </w:p>
    <w:p w14:paraId="0DF49C6F"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As of the most recent comparative data (March 2024), SWYPFT reported a </w:t>
      </w:r>
      <w:r w:rsidRPr="005938BE">
        <w:rPr>
          <w:rFonts w:ascii="Arial" w:hAnsi="Arial" w:cs="Arial"/>
          <w:b/>
          <w:bCs/>
          <w:sz w:val="22"/>
          <w:szCs w:val="22"/>
        </w:rPr>
        <w:t>mean gender pay gap of 13.9%</w:t>
      </w:r>
      <w:r w:rsidRPr="005938BE">
        <w:rPr>
          <w:rFonts w:ascii="Arial" w:hAnsi="Arial" w:cs="Arial"/>
          <w:sz w:val="22"/>
          <w:szCs w:val="22"/>
        </w:rPr>
        <w:t xml:space="preserve">, well below the </w:t>
      </w:r>
      <w:r w:rsidRPr="005938BE">
        <w:rPr>
          <w:rFonts w:ascii="Arial" w:hAnsi="Arial" w:cs="Arial"/>
          <w:b/>
          <w:bCs/>
          <w:sz w:val="22"/>
          <w:szCs w:val="22"/>
        </w:rPr>
        <w:t>regional average of approximately 20.9%</w:t>
      </w:r>
      <w:r w:rsidRPr="005938BE">
        <w:rPr>
          <w:rFonts w:ascii="Arial" w:hAnsi="Arial" w:cs="Arial"/>
          <w:sz w:val="22"/>
          <w:szCs w:val="22"/>
        </w:rPr>
        <w:t xml:space="preserve">. This places the Trust among the </w:t>
      </w:r>
      <w:r w:rsidRPr="005938BE">
        <w:rPr>
          <w:rFonts w:ascii="Arial" w:hAnsi="Arial" w:cs="Arial"/>
          <w:b/>
          <w:bCs/>
          <w:sz w:val="22"/>
          <w:szCs w:val="22"/>
        </w:rPr>
        <w:t>top third of NHS</w:t>
      </w:r>
      <w:r w:rsidRPr="005938BE">
        <w:rPr>
          <w:rFonts w:ascii="Arial" w:hAnsi="Arial" w:cs="Arial"/>
          <w:sz w:val="22"/>
          <w:szCs w:val="22"/>
        </w:rPr>
        <w:t xml:space="preserve"> </w:t>
      </w:r>
      <w:r w:rsidRPr="005938BE">
        <w:rPr>
          <w:rFonts w:ascii="Arial" w:hAnsi="Arial" w:cs="Arial"/>
          <w:b/>
          <w:bCs/>
          <w:sz w:val="22"/>
          <w:szCs w:val="22"/>
        </w:rPr>
        <w:t>employers in the region</w:t>
      </w:r>
      <w:r w:rsidRPr="005938BE">
        <w:rPr>
          <w:rFonts w:ascii="Arial" w:hAnsi="Arial" w:cs="Arial"/>
          <w:sz w:val="22"/>
          <w:szCs w:val="22"/>
        </w:rPr>
        <w:t xml:space="preserve"> in terms of average pay equity.</w:t>
      </w:r>
    </w:p>
    <w:p w14:paraId="7C21F835"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Several regional Trusts report higher mean gaps:</w:t>
      </w:r>
    </w:p>
    <w:p w14:paraId="3E3BF7B3" w14:textId="77777777" w:rsidR="005938BE" w:rsidRPr="005938BE" w:rsidRDefault="005938BE" w:rsidP="00561F06">
      <w:pPr>
        <w:numPr>
          <w:ilvl w:val="0"/>
          <w:numId w:val="4"/>
        </w:num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Doncaster &amp; Bassetlaw Hospitals NHS FT: </w:t>
      </w:r>
      <w:r w:rsidRPr="005938BE">
        <w:rPr>
          <w:rFonts w:ascii="Arial" w:hAnsi="Arial" w:cs="Arial"/>
          <w:b/>
          <w:bCs/>
          <w:sz w:val="22"/>
          <w:szCs w:val="22"/>
        </w:rPr>
        <w:t>37.6%</w:t>
      </w:r>
    </w:p>
    <w:p w14:paraId="1D9A5DFA" w14:textId="77777777" w:rsidR="005938BE" w:rsidRPr="005938BE" w:rsidRDefault="005938BE" w:rsidP="00561F06">
      <w:pPr>
        <w:numPr>
          <w:ilvl w:val="0"/>
          <w:numId w:val="4"/>
        </w:num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Barnsley Hospital NHS FT: </w:t>
      </w:r>
      <w:r w:rsidRPr="005938BE">
        <w:rPr>
          <w:rFonts w:ascii="Arial" w:hAnsi="Arial" w:cs="Arial"/>
          <w:b/>
          <w:bCs/>
          <w:sz w:val="22"/>
          <w:szCs w:val="22"/>
        </w:rPr>
        <w:t>36.0%</w:t>
      </w:r>
    </w:p>
    <w:p w14:paraId="46141264" w14:textId="77777777" w:rsidR="005938BE" w:rsidRPr="005938BE" w:rsidRDefault="005938BE" w:rsidP="00561F06">
      <w:pPr>
        <w:numPr>
          <w:ilvl w:val="0"/>
          <w:numId w:val="4"/>
        </w:num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Calderdale &amp; Huddersfield NHS FT: </w:t>
      </w:r>
      <w:r w:rsidRPr="005938BE">
        <w:rPr>
          <w:rFonts w:ascii="Arial" w:hAnsi="Arial" w:cs="Arial"/>
          <w:b/>
          <w:bCs/>
          <w:sz w:val="22"/>
          <w:szCs w:val="22"/>
        </w:rPr>
        <w:t>27.6%</w:t>
      </w:r>
    </w:p>
    <w:p w14:paraId="0B12669D" w14:textId="77777777" w:rsidR="005938BE" w:rsidRPr="005938BE" w:rsidRDefault="005938BE" w:rsidP="00561F06">
      <w:pPr>
        <w:numPr>
          <w:ilvl w:val="0"/>
          <w:numId w:val="4"/>
        </w:numPr>
        <w:spacing w:before="100" w:beforeAutospacing="1" w:after="100" w:afterAutospacing="1" w:line="300" w:lineRule="atLeast"/>
        <w:rPr>
          <w:rFonts w:ascii="Arial" w:hAnsi="Arial" w:cs="Arial"/>
          <w:sz w:val="22"/>
          <w:szCs w:val="22"/>
        </w:rPr>
      </w:pPr>
      <w:r w:rsidRPr="005938BE">
        <w:rPr>
          <w:rFonts w:ascii="Arial" w:hAnsi="Arial" w:cs="Arial"/>
          <w:sz w:val="22"/>
          <w:szCs w:val="22"/>
        </w:rPr>
        <w:t xml:space="preserve">Rotherham NHS FT: </w:t>
      </w:r>
      <w:r w:rsidRPr="005938BE">
        <w:rPr>
          <w:rFonts w:ascii="Arial" w:hAnsi="Arial" w:cs="Arial"/>
          <w:b/>
          <w:bCs/>
          <w:sz w:val="22"/>
          <w:szCs w:val="22"/>
        </w:rPr>
        <w:t>27.7%</w:t>
      </w:r>
    </w:p>
    <w:p w14:paraId="5BF7582B" w14:textId="77777777" w:rsidR="005938BE" w:rsidRPr="005938BE" w:rsidRDefault="005938BE" w:rsidP="00561F06">
      <w:pPr>
        <w:spacing w:before="100" w:beforeAutospacing="1" w:after="100" w:afterAutospacing="1" w:line="300" w:lineRule="atLeast"/>
        <w:rPr>
          <w:rFonts w:ascii="Arial" w:hAnsi="Arial" w:cs="Arial"/>
          <w:sz w:val="22"/>
          <w:szCs w:val="22"/>
        </w:rPr>
      </w:pPr>
      <w:r w:rsidRPr="005938BE">
        <w:rPr>
          <w:rFonts w:ascii="Arial" w:hAnsi="Arial" w:cs="Arial"/>
          <w:sz w:val="22"/>
          <w:szCs w:val="22"/>
        </w:rPr>
        <w:t>The chart below presents a visual ranking of mean gender pay gaps by Trust:</w:t>
      </w:r>
    </w:p>
    <w:p w14:paraId="3AFE603C" w14:textId="77777777" w:rsidR="005938BE" w:rsidRPr="005938BE" w:rsidRDefault="005938BE" w:rsidP="005938BE">
      <w:pPr>
        <w:rPr>
          <w:rFonts w:ascii="Arial" w:hAnsi="Arial" w:cs="Arial"/>
          <w:sz w:val="22"/>
          <w:szCs w:val="22"/>
        </w:rPr>
      </w:pPr>
      <w:r w:rsidRPr="005938BE">
        <w:rPr>
          <w:rFonts w:ascii="Arial" w:hAnsi="Arial" w:cs="Arial"/>
          <w:noProof/>
          <w:sz w:val="22"/>
          <w:szCs w:val="22"/>
        </w:rPr>
        <w:drawing>
          <wp:inline distT="0" distB="0" distL="0" distR="0" wp14:anchorId="6B838E78" wp14:editId="74B97517">
            <wp:extent cx="5554980" cy="3086100"/>
            <wp:effectExtent l="0" t="0" r="7620" b="0"/>
            <wp:docPr id="1" name="Picture 1"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bar graph&#10;&#10;AI-generated content may be incorrect."/>
                    <pic:cNvPicPr>
                      <a:picLocks noChangeAspect="1"/>
                    </pic:cNvPicPr>
                  </pic:nvPicPr>
                  <pic:blipFill>
                    <a:blip r:embed="rId11"/>
                    <a:stretch>
                      <a:fillRect/>
                    </a:stretch>
                  </pic:blipFill>
                  <pic:spPr>
                    <a:xfrm>
                      <a:off x="0" y="0"/>
                      <a:ext cx="5554980" cy="3086100"/>
                    </a:xfrm>
                    <a:prstGeom prst="rect">
                      <a:avLst/>
                    </a:prstGeom>
                  </pic:spPr>
                </pic:pic>
              </a:graphicData>
            </a:graphic>
          </wp:inline>
        </w:drawing>
      </w:r>
      <w:r w:rsidRPr="005938BE">
        <w:rPr>
          <w:rFonts w:ascii="Arial" w:hAnsi="Arial" w:cs="Arial"/>
          <w:sz w:val="22"/>
          <w:szCs w:val="22"/>
        </w:rPr>
        <w:br/>
      </w:r>
    </w:p>
    <w:p w14:paraId="4BBEA5E1" w14:textId="77777777" w:rsidR="005938BE" w:rsidRPr="005938BE" w:rsidRDefault="005938BE" w:rsidP="005938BE">
      <w:pPr>
        <w:rPr>
          <w:rFonts w:ascii="Arial" w:hAnsi="Arial" w:cs="Arial"/>
          <w:sz w:val="22"/>
          <w:szCs w:val="22"/>
        </w:rPr>
      </w:pPr>
      <w:r w:rsidRPr="005938BE">
        <w:rPr>
          <w:rFonts w:ascii="Arial" w:hAnsi="Arial" w:cs="Arial"/>
          <w:sz w:val="22"/>
          <w:szCs w:val="22"/>
        </w:rPr>
        <w:t>Figure: SWYPFT (13.9%) is positioned well below the regional average, indicating lower disparity in overall average pay compared to most peers.</w:t>
      </w:r>
    </w:p>
    <w:p w14:paraId="6BEE7889" w14:textId="77777777" w:rsidR="005938BE" w:rsidRPr="00561F06" w:rsidRDefault="005938BE" w:rsidP="005938BE">
      <w:pPr>
        <w:rPr>
          <w:rFonts w:ascii="Arial" w:hAnsi="Arial" w:cs="Arial"/>
        </w:rPr>
      </w:pPr>
      <w:r w:rsidRPr="00561F06">
        <w:rPr>
          <w:rFonts w:ascii="Arial" w:hAnsi="Arial" w:cs="Arial"/>
          <w:b/>
          <w:bCs/>
        </w:rPr>
        <w:t>Median Gender Pay Gap</w:t>
      </w:r>
    </w:p>
    <w:p w14:paraId="38E5BA15" w14:textId="659766DF" w:rsidR="005938BE" w:rsidRPr="005938BE" w:rsidRDefault="005938BE" w:rsidP="005938BE">
      <w:pPr>
        <w:rPr>
          <w:rFonts w:ascii="Arial" w:hAnsi="Arial" w:cs="Arial"/>
          <w:sz w:val="22"/>
          <w:szCs w:val="22"/>
        </w:rPr>
      </w:pPr>
      <w:r w:rsidRPr="005938BE">
        <w:rPr>
          <w:rFonts w:ascii="Arial" w:hAnsi="Arial" w:cs="Arial"/>
          <w:sz w:val="22"/>
          <w:szCs w:val="22"/>
        </w:rPr>
        <w:t>SWYPFT’s median gender pay gap of 5.0% is particularly strong when compared regionally. The Yorkshire and Humber average median gap is around 10.6%, with many Trusts reporting gaps far exceeding this level.</w:t>
      </w:r>
    </w:p>
    <w:p w14:paraId="6020828E" w14:textId="77777777" w:rsidR="005938BE" w:rsidRPr="005938BE" w:rsidRDefault="005938BE" w:rsidP="005938BE">
      <w:pPr>
        <w:rPr>
          <w:rFonts w:ascii="Arial" w:hAnsi="Arial" w:cs="Arial"/>
          <w:sz w:val="22"/>
          <w:szCs w:val="22"/>
        </w:rPr>
      </w:pPr>
      <w:r w:rsidRPr="005938BE">
        <w:rPr>
          <w:rFonts w:ascii="Arial" w:hAnsi="Arial" w:cs="Arial"/>
          <w:sz w:val="22"/>
          <w:szCs w:val="22"/>
        </w:rPr>
        <w:t>Trusts with higher median pay gaps include:</w:t>
      </w:r>
    </w:p>
    <w:p w14:paraId="5A3D7400" w14:textId="77777777" w:rsidR="005938BE" w:rsidRPr="005938BE" w:rsidRDefault="005938BE" w:rsidP="005938BE">
      <w:pPr>
        <w:numPr>
          <w:ilvl w:val="0"/>
          <w:numId w:val="5"/>
        </w:numPr>
        <w:spacing w:line="259" w:lineRule="auto"/>
        <w:rPr>
          <w:rFonts w:ascii="Arial" w:hAnsi="Arial" w:cs="Arial"/>
          <w:sz w:val="22"/>
          <w:szCs w:val="22"/>
        </w:rPr>
      </w:pPr>
      <w:r w:rsidRPr="005938BE">
        <w:rPr>
          <w:rFonts w:ascii="Arial" w:hAnsi="Arial" w:cs="Arial"/>
          <w:sz w:val="22"/>
          <w:szCs w:val="22"/>
        </w:rPr>
        <w:t xml:space="preserve">Doncaster &amp; Bassetlaw: </w:t>
      </w:r>
      <w:r w:rsidRPr="005938BE">
        <w:rPr>
          <w:rFonts w:ascii="Arial" w:hAnsi="Arial" w:cs="Arial"/>
          <w:b/>
          <w:bCs/>
          <w:sz w:val="22"/>
          <w:szCs w:val="22"/>
        </w:rPr>
        <w:t>29.4%</w:t>
      </w:r>
    </w:p>
    <w:p w14:paraId="02980BDB" w14:textId="77777777" w:rsidR="005938BE" w:rsidRPr="005938BE" w:rsidRDefault="005938BE" w:rsidP="005938BE">
      <w:pPr>
        <w:numPr>
          <w:ilvl w:val="0"/>
          <w:numId w:val="5"/>
        </w:numPr>
        <w:spacing w:line="259" w:lineRule="auto"/>
        <w:rPr>
          <w:rFonts w:ascii="Arial" w:hAnsi="Arial" w:cs="Arial"/>
          <w:sz w:val="22"/>
          <w:szCs w:val="22"/>
        </w:rPr>
      </w:pPr>
      <w:r w:rsidRPr="005938BE">
        <w:rPr>
          <w:rFonts w:ascii="Arial" w:hAnsi="Arial" w:cs="Arial"/>
          <w:sz w:val="22"/>
          <w:szCs w:val="22"/>
        </w:rPr>
        <w:t xml:space="preserve">Northern Lincolnshire &amp; Goole: </w:t>
      </w:r>
      <w:r w:rsidRPr="005938BE">
        <w:rPr>
          <w:rFonts w:ascii="Arial" w:hAnsi="Arial" w:cs="Arial"/>
          <w:b/>
          <w:bCs/>
          <w:sz w:val="22"/>
          <w:szCs w:val="22"/>
        </w:rPr>
        <w:t>25.7%</w:t>
      </w:r>
    </w:p>
    <w:p w14:paraId="1E0B7A99" w14:textId="77777777" w:rsidR="005938BE" w:rsidRPr="005938BE" w:rsidRDefault="005938BE" w:rsidP="005938BE">
      <w:pPr>
        <w:numPr>
          <w:ilvl w:val="0"/>
          <w:numId w:val="5"/>
        </w:numPr>
        <w:spacing w:line="259" w:lineRule="auto"/>
        <w:rPr>
          <w:rFonts w:ascii="Arial" w:hAnsi="Arial" w:cs="Arial"/>
          <w:sz w:val="22"/>
          <w:szCs w:val="22"/>
        </w:rPr>
      </w:pPr>
      <w:r w:rsidRPr="005938BE">
        <w:rPr>
          <w:rFonts w:ascii="Arial" w:hAnsi="Arial" w:cs="Arial"/>
          <w:sz w:val="22"/>
          <w:szCs w:val="22"/>
        </w:rPr>
        <w:t xml:space="preserve">Rotherham NHS FT: </w:t>
      </w:r>
      <w:r w:rsidRPr="005938BE">
        <w:rPr>
          <w:rFonts w:ascii="Arial" w:hAnsi="Arial" w:cs="Arial"/>
          <w:b/>
          <w:bCs/>
          <w:sz w:val="22"/>
          <w:szCs w:val="22"/>
        </w:rPr>
        <w:t>21.5%</w:t>
      </w:r>
    </w:p>
    <w:p w14:paraId="396AEF3D" w14:textId="77777777" w:rsidR="005938BE" w:rsidRPr="005938BE" w:rsidRDefault="005938BE" w:rsidP="005938BE">
      <w:pPr>
        <w:numPr>
          <w:ilvl w:val="0"/>
          <w:numId w:val="5"/>
        </w:numPr>
        <w:spacing w:line="259" w:lineRule="auto"/>
        <w:rPr>
          <w:rFonts w:ascii="Arial" w:hAnsi="Arial" w:cs="Arial"/>
          <w:sz w:val="22"/>
          <w:szCs w:val="22"/>
        </w:rPr>
      </w:pPr>
      <w:r w:rsidRPr="005938BE">
        <w:rPr>
          <w:rFonts w:ascii="Arial" w:hAnsi="Arial" w:cs="Arial"/>
          <w:sz w:val="22"/>
          <w:szCs w:val="22"/>
        </w:rPr>
        <w:lastRenderedPageBreak/>
        <w:t xml:space="preserve">Calderdale &amp; Huddersfield: </w:t>
      </w:r>
      <w:r w:rsidRPr="005938BE">
        <w:rPr>
          <w:rFonts w:ascii="Arial" w:hAnsi="Arial" w:cs="Arial"/>
          <w:b/>
          <w:bCs/>
          <w:sz w:val="22"/>
          <w:szCs w:val="22"/>
        </w:rPr>
        <w:t>18.9%</w:t>
      </w:r>
    </w:p>
    <w:p w14:paraId="7DF65EB7" w14:textId="77777777" w:rsidR="00561F06" w:rsidRDefault="00561F06" w:rsidP="005938BE">
      <w:pPr>
        <w:rPr>
          <w:rFonts w:ascii="Arial" w:hAnsi="Arial" w:cs="Arial"/>
          <w:sz w:val="22"/>
          <w:szCs w:val="22"/>
        </w:rPr>
      </w:pPr>
    </w:p>
    <w:p w14:paraId="5668D5B8" w14:textId="7C525791" w:rsidR="005938BE" w:rsidRPr="005938BE" w:rsidRDefault="005938BE" w:rsidP="005938BE">
      <w:pPr>
        <w:rPr>
          <w:rFonts w:ascii="Arial" w:hAnsi="Arial" w:cs="Arial"/>
          <w:sz w:val="22"/>
          <w:szCs w:val="22"/>
        </w:rPr>
      </w:pPr>
      <w:r w:rsidRPr="005938BE">
        <w:rPr>
          <w:rFonts w:ascii="Arial" w:hAnsi="Arial" w:cs="Arial"/>
          <w:sz w:val="22"/>
          <w:szCs w:val="22"/>
        </w:rPr>
        <w:t>Conversely, only a few Trusts reported lower or near-zero median gaps:</w:t>
      </w:r>
    </w:p>
    <w:p w14:paraId="0EDBD687" w14:textId="77777777" w:rsidR="005938BE" w:rsidRPr="005938BE" w:rsidRDefault="005938BE" w:rsidP="005938BE">
      <w:pPr>
        <w:numPr>
          <w:ilvl w:val="0"/>
          <w:numId w:val="6"/>
        </w:numPr>
        <w:spacing w:line="259" w:lineRule="auto"/>
        <w:rPr>
          <w:rFonts w:ascii="Arial" w:hAnsi="Arial" w:cs="Arial"/>
          <w:sz w:val="22"/>
          <w:szCs w:val="22"/>
        </w:rPr>
      </w:pPr>
      <w:r w:rsidRPr="005938BE">
        <w:rPr>
          <w:rFonts w:ascii="Arial" w:hAnsi="Arial" w:cs="Arial"/>
          <w:sz w:val="22"/>
          <w:szCs w:val="22"/>
        </w:rPr>
        <w:t xml:space="preserve">Bradford District Care FT: </w:t>
      </w:r>
      <w:r w:rsidRPr="005938BE">
        <w:rPr>
          <w:rFonts w:ascii="Arial" w:hAnsi="Arial" w:cs="Arial"/>
          <w:b/>
          <w:bCs/>
          <w:sz w:val="22"/>
          <w:szCs w:val="22"/>
        </w:rPr>
        <w:t>–6.1%</w:t>
      </w:r>
      <w:r w:rsidRPr="005938BE">
        <w:rPr>
          <w:rFonts w:ascii="Arial" w:hAnsi="Arial" w:cs="Arial"/>
          <w:sz w:val="22"/>
          <w:szCs w:val="22"/>
        </w:rPr>
        <w:t xml:space="preserve"> (in favour of women)</w:t>
      </w:r>
    </w:p>
    <w:p w14:paraId="22C1B4FD" w14:textId="77777777" w:rsidR="005938BE" w:rsidRPr="005938BE" w:rsidRDefault="005938BE" w:rsidP="005938BE">
      <w:pPr>
        <w:numPr>
          <w:ilvl w:val="0"/>
          <w:numId w:val="6"/>
        </w:numPr>
        <w:spacing w:line="259" w:lineRule="auto"/>
        <w:rPr>
          <w:rFonts w:ascii="Arial" w:hAnsi="Arial" w:cs="Arial"/>
          <w:sz w:val="22"/>
          <w:szCs w:val="22"/>
        </w:rPr>
      </w:pPr>
      <w:r w:rsidRPr="005938BE">
        <w:rPr>
          <w:rFonts w:ascii="Arial" w:hAnsi="Arial" w:cs="Arial"/>
          <w:sz w:val="22"/>
          <w:szCs w:val="22"/>
        </w:rPr>
        <w:t xml:space="preserve">Sheffield Health &amp; Social Care: </w:t>
      </w:r>
      <w:r w:rsidRPr="005938BE">
        <w:rPr>
          <w:rFonts w:ascii="Arial" w:hAnsi="Arial" w:cs="Arial"/>
          <w:b/>
          <w:bCs/>
          <w:sz w:val="22"/>
          <w:szCs w:val="22"/>
        </w:rPr>
        <w:t>–1.5%</w:t>
      </w:r>
    </w:p>
    <w:p w14:paraId="7C490D5F" w14:textId="77777777" w:rsidR="005938BE" w:rsidRPr="005938BE" w:rsidRDefault="005938BE" w:rsidP="005938BE">
      <w:pPr>
        <w:numPr>
          <w:ilvl w:val="0"/>
          <w:numId w:val="6"/>
        </w:numPr>
        <w:spacing w:line="259" w:lineRule="auto"/>
        <w:rPr>
          <w:rFonts w:ascii="Arial" w:hAnsi="Arial" w:cs="Arial"/>
          <w:sz w:val="22"/>
          <w:szCs w:val="22"/>
        </w:rPr>
      </w:pPr>
      <w:r w:rsidRPr="005938BE">
        <w:rPr>
          <w:rFonts w:ascii="Arial" w:hAnsi="Arial" w:cs="Arial"/>
          <w:sz w:val="22"/>
          <w:szCs w:val="22"/>
        </w:rPr>
        <w:t xml:space="preserve">Humber Teaching NHS FT: </w:t>
      </w:r>
      <w:r w:rsidRPr="005938BE">
        <w:rPr>
          <w:rFonts w:ascii="Arial" w:hAnsi="Arial" w:cs="Arial"/>
          <w:b/>
          <w:bCs/>
          <w:sz w:val="22"/>
          <w:szCs w:val="22"/>
        </w:rPr>
        <w:t>0.6%</w:t>
      </w:r>
    </w:p>
    <w:p w14:paraId="1992EFF2" w14:textId="77777777" w:rsidR="005938BE" w:rsidRPr="005938BE" w:rsidRDefault="005938BE" w:rsidP="005938BE">
      <w:pPr>
        <w:rPr>
          <w:rFonts w:ascii="Arial" w:hAnsi="Arial" w:cs="Arial"/>
          <w:sz w:val="22"/>
          <w:szCs w:val="22"/>
        </w:rPr>
      </w:pPr>
      <w:r w:rsidRPr="005938BE">
        <w:rPr>
          <w:rFonts w:ascii="Arial" w:hAnsi="Arial" w:cs="Arial"/>
          <w:sz w:val="22"/>
          <w:szCs w:val="22"/>
        </w:rPr>
        <w:t>The chart below highlights how SWYPFT compares across the region on this key metric:</w:t>
      </w:r>
    </w:p>
    <w:p w14:paraId="350BE943" w14:textId="77777777" w:rsidR="005938BE" w:rsidRPr="005938BE" w:rsidRDefault="005938BE" w:rsidP="005938BE">
      <w:pPr>
        <w:rPr>
          <w:rFonts w:ascii="Arial" w:hAnsi="Arial" w:cs="Arial"/>
          <w:sz w:val="22"/>
          <w:szCs w:val="22"/>
        </w:rPr>
      </w:pPr>
      <w:r w:rsidRPr="005938BE">
        <w:rPr>
          <w:rFonts w:ascii="Arial" w:hAnsi="Arial" w:cs="Arial"/>
          <w:noProof/>
          <w:sz w:val="22"/>
          <w:szCs w:val="22"/>
        </w:rPr>
        <w:drawing>
          <wp:inline distT="0" distB="0" distL="0" distR="0" wp14:anchorId="0AF18F4F" wp14:editId="3F42B9CD">
            <wp:extent cx="5486400" cy="2743200"/>
            <wp:effectExtent l="0" t="0" r="0" b="0"/>
            <wp:docPr id="2" name="Picture 1" descr="A graph of a number of men and wo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number of men and women&#10;&#10;AI-generated content may be incorrect."/>
                    <pic:cNvPicPr>
                      <a:picLocks noChangeAspect="1"/>
                    </pic:cNvPicPr>
                  </pic:nvPicPr>
                  <pic:blipFill>
                    <a:blip r:embed="rId12"/>
                    <a:stretch>
                      <a:fillRect/>
                    </a:stretch>
                  </pic:blipFill>
                  <pic:spPr>
                    <a:xfrm>
                      <a:off x="0" y="0"/>
                      <a:ext cx="5486400" cy="2743200"/>
                    </a:xfrm>
                    <a:prstGeom prst="rect">
                      <a:avLst/>
                    </a:prstGeom>
                  </pic:spPr>
                </pic:pic>
              </a:graphicData>
            </a:graphic>
          </wp:inline>
        </w:drawing>
      </w:r>
    </w:p>
    <w:p w14:paraId="19592E4E" w14:textId="75BFC5DD" w:rsidR="00561F06" w:rsidRDefault="005938BE" w:rsidP="005938BE">
      <w:pPr>
        <w:rPr>
          <w:rFonts w:ascii="Arial" w:hAnsi="Arial" w:cs="Arial"/>
          <w:b/>
          <w:bCs/>
          <w:sz w:val="22"/>
          <w:szCs w:val="22"/>
        </w:rPr>
      </w:pPr>
      <w:r w:rsidRPr="005938BE">
        <w:rPr>
          <w:rFonts w:ascii="Arial" w:hAnsi="Arial" w:cs="Arial"/>
          <w:i/>
          <w:iCs/>
          <w:sz w:val="22"/>
          <w:szCs w:val="22"/>
        </w:rPr>
        <w:t>Figure: SWYPFT’s 5.0% median gap places it among the most equitable employers regionally in terms of typical hourly pay.</w:t>
      </w:r>
      <w:r w:rsidRPr="005938BE">
        <w:rPr>
          <w:rFonts w:ascii="Arial" w:hAnsi="Arial" w:cs="Arial"/>
          <w:sz w:val="22"/>
          <w:szCs w:val="22"/>
        </w:rPr>
        <w:br/>
      </w:r>
      <w:r w:rsidRPr="005938BE">
        <w:rPr>
          <w:rFonts w:ascii="Arial" w:hAnsi="Arial" w:cs="Arial"/>
          <w:sz w:val="22"/>
          <w:szCs w:val="22"/>
        </w:rPr>
        <w:br/>
      </w:r>
      <w:r w:rsidRPr="00561F06">
        <w:rPr>
          <w:rFonts w:ascii="Arial" w:hAnsi="Arial" w:cs="Arial"/>
          <w:b/>
          <w:bCs/>
        </w:rPr>
        <w:t>Summary of Regional Position</w:t>
      </w:r>
    </w:p>
    <w:p w14:paraId="732B24E4" w14:textId="77777777" w:rsidR="00561F06" w:rsidRDefault="005938BE" w:rsidP="00561F06">
      <w:pPr>
        <w:pStyle w:val="ListParagraph"/>
        <w:numPr>
          <w:ilvl w:val="0"/>
          <w:numId w:val="7"/>
        </w:numPr>
        <w:rPr>
          <w:rFonts w:ascii="Arial" w:hAnsi="Arial" w:cs="Arial"/>
          <w:sz w:val="22"/>
          <w:szCs w:val="22"/>
        </w:rPr>
      </w:pPr>
      <w:r w:rsidRPr="00561F06">
        <w:rPr>
          <w:rFonts w:ascii="Arial" w:hAnsi="Arial" w:cs="Arial"/>
          <w:b/>
          <w:bCs/>
          <w:sz w:val="22"/>
          <w:szCs w:val="22"/>
        </w:rPr>
        <w:t>Mean Gap</w:t>
      </w:r>
      <w:r w:rsidRPr="00561F06">
        <w:rPr>
          <w:rFonts w:ascii="Arial" w:hAnsi="Arial" w:cs="Arial"/>
          <w:sz w:val="22"/>
          <w:szCs w:val="22"/>
        </w:rPr>
        <w:t xml:space="preserve">: SWYPFT is better than </w:t>
      </w:r>
      <w:r w:rsidRPr="00561F06">
        <w:rPr>
          <w:rFonts w:ascii="Arial" w:hAnsi="Arial" w:cs="Arial"/>
          <w:b/>
          <w:bCs/>
          <w:sz w:val="22"/>
          <w:szCs w:val="22"/>
        </w:rPr>
        <w:t>16 of 21</w:t>
      </w:r>
      <w:r w:rsidRPr="00561F06">
        <w:rPr>
          <w:rFonts w:ascii="Arial" w:hAnsi="Arial" w:cs="Arial"/>
          <w:sz w:val="22"/>
          <w:szCs w:val="22"/>
        </w:rPr>
        <w:t xml:space="preserve"> regional Trusts</w:t>
      </w:r>
    </w:p>
    <w:p w14:paraId="3289664A" w14:textId="77777777" w:rsidR="00561F06" w:rsidRDefault="005938BE" w:rsidP="00561F06">
      <w:pPr>
        <w:pStyle w:val="ListParagraph"/>
        <w:numPr>
          <w:ilvl w:val="0"/>
          <w:numId w:val="7"/>
        </w:numPr>
        <w:rPr>
          <w:rFonts w:ascii="Arial" w:hAnsi="Arial" w:cs="Arial"/>
          <w:sz w:val="22"/>
          <w:szCs w:val="22"/>
        </w:rPr>
      </w:pPr>
      <w:r w:rsidRPr="00561F06">
        <w:rPr>
          <w:rFonts w:ascii="Arial" w:hAnsi="Arial" w:cs="Arial"/>
          <w:b/>
          <w:bCs/>
          <w:sz w:val="22"/>
          <w:szCs w:val="22"/>
        </w:rPr>
        <w:t>Median Gap</w:t>
      </w:r>
      <w:r w:rsidRPr="00561F06">
        <w:rPr>
          <w:rFonts w:ascii="Arial" w:hAnsi="Arial" w:cs="Arial"/>
          <w:sz w:val="22"/>
          <w:szCs w:val="22"/>
        </w:rPr>
        <w:t xml:space="preserve">: SWYPFT is in the </w:t>
      </w:r>
      <w:r w:rsidRPr="00561F06">
        <w:rPr>
          <w:rFonts w:ascii="Arial" w:hAnsi="Arial" w:cs="Arial"/>
          <w:b/>
          <w:bCs/>
          <w:sz w:val="22"/>
          <w:szCs w:val="22"/>
        </w:rPr>
        <w:t>top 5 most equitable Trusts</w:t>
      </w:r>
      <w:r w:rsidRPr="00561F06">
        <w:rPr>
          <w:rFonts w:ascii="Arial" w:hAnsi="Arial" w:cs="Arial"/>
          <w:sz w:val="22"/>
          <w:szCs w:val="22"/>
        </w:rPr>
        <w:t>, and well below the regional median</w:t>
      </w:r>
    </w:p>
    <w:p w14:paraId="25007AB8" w14:textId="63D30C3D" w:rsidR="005938BE" w:rsidRPr="00561F06" w:rsidRDefault="005938BE" w:rsidP="00561F06">
      <w:pPr>
        <w:rPr>
          <w:rFonts w:ascii="Arial" w:hAnsi="Arial" w:cs="Arial"/>
          <w:sz w:val="22"/>
          <w:szCs w:val="22"/>
        </w:rPr>
      </w:pPr>
      <w:r w:rsidRPr="00561F06">
        <w:rPr>
          <w:rFonts w:ascii="Arial" w:hAnsi="Arial" w:cs="Arial"/>
          <w:sz w:val="22"/>
          <w:szCs w:val="22"/>
        </w:rPr>
        <w:t xml:space="preserve">These figures indicate that SWYPFT is not only making progress over time but is also </w:t>
      </w:r>
      <w:r w:rsidRPr="00561F06">
        <w:rPr>
          <w:rFonts w:ascii="Arial" w:hAnsi="Arial" w:cs="Arial"/>
          <w:b/>
          <w:bCs/>
          <w:sz w:val="22"/>
          <w:szCs w:val="22"/>
        </w:rPr>
        <w:t>leading regionally</w:t>
      </w:r>
      <w:r w:rsidRPr="00561F06">
        <w:rPr>
          <w:rFonts w:ascii="Arial" w:hAnsi="Arial" w:cs="Arial"/>
          <w:sz w:val="22"/>
          <w:szCs w:val="22"/>
        </w:rPr>
        <w:t xml:space="preserve"> in closing the gender pay gap, particularly at the midpoint of the pay scale where equity impacts the greatest number of staff.</w:t>
      </w:r>
    </w:p>
    <w:p w14:paraId="1F1E491D" w14:textId="77777777" w:rsidR="00561F06" w:rsidRDefault="00561F06" w:rsidP="005938BE">
      <w:pPr>
        <w:rPr>
          <w:rFonts w:ascii="Arial" w:hAnsi="Arial" w:cs="Arial"/>
          <w:b/>
          <w:bCs/>
          <w:sz w:val="22"/>
          <w:szCs w:val="22"/>
        </w:rPr>
      </w:pPr>
    </w:p>
    <w:p w14:paraId="1A73710A" w14:textId="5C0F8B68" w:rsidR="005938BE" w:rsidRPr="00561F06" w:rsidRDefault="005938BE" w:rsidP="005938BE">
      <w:pPr>
        <w:rPr>
          <w:rFonts w:ascii="Arial" w:hAnsi="Arial" w:cs="Arial"/>
          <w:b/>
          <w:bCs/>
        </w:rPr>
      </w:pPr>
      <w:r w:rsidRPr="00561F06">
        <w:rPr>
          <w:rFonts w:ascii="Arial" w:hAnsi="Arial" w:cs="Arial"/>
          <w:b/>
          <w:bCs/>
        </w:rPr>
        <w:t>Recommendation</w:t>
      </w:r>
    </w:p>
    <w:p w14:paraId="59C44BA5" w14:textId="77777777" w:rsidR="005938BE" w:rsidRPr="005938BE" w:rsidRDefault="005938BE" w:rsidP="005938BE">
      <w:pPr>
        <w:spacing w:before="240" w:after="240"/>
        <w:rPr>
          <w:rFonts w:ascii="Arial" w:eastAsia="Aptos" w:hAnsi="Arial" w:cs="Arial"/>
          <w:sz w:val="22"/>
          <w:szCs w:val="22"/>
        </w:rPr>
      </w:pPr>
      <w:r w:rsidRPr="005938BE">
        <w:rPr>
          <w:rFonts w:ascii="Arial" w:eastAsia="Aptos" w:hAnsi="Arial" w:cs="Arial"/>
          <w:sz w:val="22"/>
          <w:szCs w:val="22"/>
        </w:rPr>
        <w:t>We will combine the ethnicity and gender pay gap insights into the one comprehensive EDI improvement plan. This way, we can address all issues together and have a clear strategy for improving equity, diversity, and inclusion in our organisation.</w:t>
      </w:r>
    </w:p>
    <w:p w14:paraId="2CBEB7C9" w14:textId="77777777" w:rsidR="00561F06" w:rsidRDefault="00561F06" w:rsidP="005938BE">
      <w:pPr>
        <w:rPr>
          <w:rFonts w:ascii="Arial" w:hAnsi="Arial" w:cs="Arial"/>
          <w:b/>
          <w:bCs/>
        </w:rPr>
      </w:pPr>
    </w:p>
    <w:p w14:paraId="5A96EFED" w14:textId="6A35CB22" w:rsidR="005938BE" w:rsidRPr="00561F06" w:rsidRDefault="005938BE" w:rsidP="005938BE">
      <w:pPr>
        <w:rPr>
          <w:rFonts w:ascii="Arial" w:hAnsi="Arial" w:cs="Arial"/>
        </w:rPr>
      </w:pPr>
      <w:r w:rsidRPr="00561F06">
        <w:rPr>
          <w:rFonts w:ascii="Arial" w:hAnsi="Arial" w:cs="Arial"/>
          <w:b/>
          <w:bCs/>
        </w:rPr>
        <w:lastRenderedPageBreak/>
        <w:t>Conclusion</w:t>
      </w:r>
    </w:p>
    <w:p w14:paraId="6B7F4205" w14:textId="77777777" w:rsidR="005938BE" w:rsidRPr="005938BE" w:rsidRDefault="005938BE" w:rsidP="005938BE">
      <w:pPr>
        <w:spacing w:before="240" w:after="240"/>
        <w:rPr>
          <w:rFonts w:ascii="Arial" w:eastAsia="Aptos" w:hAnsi="Arial" w:cs="Arial"/>
          <w:sz w:val="22"/>
          <w:szCs w:val="22"/>
        </w:rPr>
      </w:pPr>
      <w:r w:rsidRPr="005938BE">
        <w:rPr>
          <w:rFonts w:ascii="Arial" w:eastAsia="Aptos" w:hAnsi="Arial" w:cs="Arial"/>
          <w:sz w:val="22"/>
          <w:szCs w:val="22"/>
        </w:rPr>
        <w:t xml:space="preserve">South West Yorkshire Partnership NHS Trust’s gender pay gap analysis (March 2025) shows that men earn more than women on average. The mean hourly pay gap is </w:t>
      </w:r>
      <w:r w:rsidRPr="005938BE">
        <w:rPr>
          <w:rFonts w:ascii="Arial" w:eastAsia="Aptos" w:hAnsi="Arial" w:cs="Arial"/>
          <w:b/>
          <w:bCs/>
          <w:sz w:val="22"/>
          <w:szCs w:val="22"/>
        </w:rPr>
        <w:t>13.9%</w:t>
      </w:r>
      <w:r w:rsidRPr="005938BE">
        <w:rPr>
          <w:rFonts w:ascii="Arial" w:eastAsia="Aptos" w:hAnsi="Arial" w:cs="Arial"/>
          <w:sz w:val="22"/>
          <w:szCs w:val="22"/>
        </w:rPr>
        <w:t xml:space="preserve">, while the median gap is </w:t>
      </w:r>
      <w:r w:rsidRPr="005938BE">
        <w:rPr>
          <w:rFonts w:ascii="Arial" w:eastAsia="Aptos" w:hAnsi="Arial" w:cs="Arial"/>
          <w:b/>
          <w:bCs/>
          <w:sz w:val="22"/>
          <w:szCs w:val="22"/>
        </w:rPr>
        <w:t>5.0%</w:t>
      </w:r>
      <w:r w:rsidRPr="005938BE">
        <w:rPr>
          <w:rFonts w:ascii="Arial" w:eastAsia="Aptos" w:hAnsi="Arial" w:cs="Arial"/>
          <w:sz w:val="22"/>
          <w:szCs w:val="22"/>
        </w:rPr>
        <w:t>, indicating that while overall pay differences persist, pay is closer at the middle of the distribution.</w:t>
      </w:r>
    </w:p>
    <w:p w14:paraId="0C149B60" w14:textId="77777777" w:rsidR="005938BE" w:rsidRPr="005938BE" w:rsidRDefault="005938BE" w:rsidP="005938BE">
      <w:pPr>
        <w:spacing w:before="240" w:after="240"/>
        <w:rPr>
          <w:rFonts w:ascii="Arial" w:hAnsi="Arial" w:cs="Arial"/>
          <w:sz w:val="22"/>
          <w:szCs w:val="22"/>
        </w:rPr>
      </w:pPr>
      <w:r w:rsidRPr="005938BE">
        <w:rPr>
          <w:rFonts w:ascii="Arial" w:eastAsia="Aptos" w:hAnsi="Arial" w:cs="Arial"/>
          <w:sz w:val="22"/>
          <w:szCs w:val="22"/>
        </w:rPr>
        <w:t xml:space="preserve">Women make up </w:t>
      </w:r>
      <w:r w:rsidRPr="005938BE">
        <w:rPr>
          <w:rFonts w:ascii="Arial" w:eastAsia="Aptos" w:hAnsi="Arial" w:cs="Arial"/>
          <w:b/>
          <w:bCs/>
          <w:sz w:val="22"/>
          <w:szCs w:val="22"/>
        </w:rPr>
        <w:t>76%</w:t>
      </w:r>
      <w:r w:rsidRPr="005938BE">
        <w:rPr>
          <w:rFonts w:ascii="Arial" w:eastAsia="Aptos" w:hAnsi="Arial" w:cs="Arial"/>
          <w:sz w:val="22"/>
          <w:szCs w:val="22"/>
        </w:rPr>
        <w:t xml:space="preserve"> of the workforce yet are more concentrated in lower pay quartiles. In contrast, men are more frequently found in higher-paid roles. For example, </w:t>
      </w:r>
      <w:r w:rsidRPr="005938BE">
        <w:rPr>
          <w:rFonts w:ascii="Arial" w:eastAsia="Aptos" w:hAnsi="Arial" w:cs="Arial"/>
          <w:b/>
          <w:bCs/>
          <w:sz w:val="22"/>
          <w:szCs w:val="22"/>
        </w:rPr>
        <w:t>81% of the lowest quartile</w:t>
      </w:r>
      <w:r w:rsidRPr="005938BE">
        <w:rPr>
          <w:rFonts w:ascii="Arial" w:eastAsia="Aptos" w:hAnsi="Arial" w:cs="Arial"/>
          <w:sz w:val="22"/>
          <w:szCs w:val="22"/>
        </w:rPr>
        <w:t xml:space="preserve"> is female, whereas the top quartile drops to </w:t>
      </w:r>
      <w:r w:rsidRPr="005938BE">
        <w:rPr>
          <w:rFonts w:ascii="Arial" w:eastAsia="Aptos" w:hAnsi="Arial" w:cs="Arial"/>
          <w:b/>
          <w:bCs/>
          <w:sz w:val="22"/>
          <w:szCs w:val="22"/>
        </w:rPr>
        <w:t>70% female</w:t>
      </w:r>
      <w:r w:rsidRPr="005938BE">
        <w:rPr>
          <w:rFonts w:ascii="Arial" w:eastAsia="Aptos" w:hAnsi="Arial" w:cs="Arial"/>
          <w:sz w:val="22"/>
          <w:szCs w:val="22"/>
        </w:rPr>
        <w:t>, revealing an imbalance in senior positions.</w:t>
      </w:r>
    </w:p>
    <w:p w14:paraId="0D997889" w14:textId="3C4F8E39" w:rsidR="00561F06" w:rsidRDefault="005938BE" w:rsidP="005938BE">
      <w:pPr>
        <w:spacing w:before="240" w:after="240"/>
        <w:rPr>
          <w:rFonts w:ascii="Arial" w:eastAsia="Aptos" w:hAnsi="Arial" w:cs="Arial"/>
          <w:sz w:val="22"/>
          <w:szCs w:val="22"/>
        </w:rPr>
      </w:pPr>
      <w:r w:rsidRPr="005938BE">
        <w:rPr>
          <w:rFonts w:ascii="Arial" w:eastAsia="Aptos" w:hAnsi="Arial" w:cs="Arial"/>
          <w:sz w:val="22"/>
          <w:szCs w:val="22"/>
        </w:rPr>
        <w:t>The findings suggest that while NHS pay scales promote equal pay for equivalent roles, gender representation at higher levels significantly influences the overall pay gap. Addressing our leadership diversity and career progression opportunities for women could help reduce disparities.</w:t>
      </w:r>
    </w:p>
    <w:p w14:paraId="530FE1E5" w14:textId="77777777" w:rsidR="00561F06" w:rsidRDefault="00561F06">
      <w:pPr>
        <w:rPr>
          <w:rFonts w:ascii="Arial" w:eastAsia="Aptos" w:hAnsi="Arial" w:cs="Arial"/>
          <w:sz w:val="22"/>
          <w:szCs w:val="22"/>
        </w:rPr>
      </w:pPr>
      <w:r>
        <w:rPr>
          <w:rFonts w:ascii="Arial" w:eastAsia="Aptos" w:hAnsi="Arial" w:cs="Arial"/>
          <w:sz w:val="22"/>
          <w:szCs w:val="22"/>
        </w:rPr>
        <w:br w:type="page"/>
      </w:r>
    </w:p>
    <w:p w14:paraId="4FE5CDAB" w14:textId="398D6616" w:rsidR="00561F06" w:rsidRPr="00561F06" w:rsidRDefault="00561F06" w:rsidP="00561F06">
      <w:pPr>
        <w:spacing w:before="240" w:after="240"/>
        <w:rPr>
          <w:rFonts w:ascii="Arial" w:hAnsi="Arial" w:cs="Arial"/>
          <w:sz w:val="28"/>
          <w:szCs w:val="28"/>
        </w:rPr>
      </w:pPr>
      <w:r w:rsidRPr="00561F06">
        <w:rPr>
          <w:rFonts w:ascii="Arial" w:hAnsi="Arial" w:cs="Arial"/>
          <w:b/>
          <w:bCs/>
          <w:sz w:val="28"/>
          <w:szCs w:val="28"/>
        </w:rPr>
        <w:lastRenderedPageBreak/>
        <w:t>Appendix B:</w:t>
      </w:r>
      <w:r w:rsidRPr="00561F06">
        <w:rPr>
          <w:rFonts w:ascii="Arial" w:hAnsi="Arial" w:cs="Arial"/>
          <w:sz w:val="28"/>
          <w:szCs w:val="28"/>
        </w:rPr>
        <w:t xml:space="preserve"> </w:t>
      </w:r>
      <w:r w:rsidRPr="00561F06">
        <w:rPr>
          <w:rFonts w:ascii="Arial" w:hAnsi="Arial" w:cs="Arial"/>
          <w:b/>
          <w:bCs/>
          <w:sz w:val="28"/>
          <w:szCs w:val="28"/>
        </w:rPr>
        <w:t xml:space="preserve">Ethnicity Pay Gap Report (2025), South West Yorkshire Partnership NHS Foundation Trust </w:t>
      </w:r>
    </w:p>
    <w:p w14:paraId="3E0FFE5A" w14:textId="77777777" w:rsidR="00561F06" w:rsidRPr="00561F06" w:rsidRDefault="00561F06" w:rsidP="00561F06">
      <w:pPr>
        <w:spacing w:before="100" w:beforeAutospacing="1" w:after="100" w:afterAutospacing="1" w:line="300" w:lineRule="atLeast"/>
        <w:rPr>
          <w:rFonts w:ascii="Arial" w:hAnsi="Arial" w:cs="Arial"/>
          <w:b/>
          <w:bCs/>
        </w:rPr>
      </w:pPr>
      <w:r w:rsidRPr="00561F06">
        <w:rPr>
          <w:rFonts w:ascii="Arial" w:hAnsi="Arial" w:cs="Arial"/>
          <w:b/>
          <w:bCs/>
        </w:rPr>
        <w:t xml:space="preserve">Introduction </w:t>
      </w:r>
    </w:p>
    <w:p w14:paraId="069D8563" w14:textId="77777777" w:rsidR="00561F06" w:rsidRPr="00561F06" w:rsidRDefault="00561F06" w:rsidP="00561F06">
      <w:pPr>
        <w:spacing w:before="100" w:beforeAutospacing="1" w:after="100" w:afterAutospacing="1" w:line="300" w:lineRule="atLeast"/>
        <w:rPr>
          <w:rFonts w:ascii="Arial" w:hAnsi="Arial" w:cs="Arial"/>
          <w:sz w:val="22"/>
          <w:szCs w:val="22"/>
        </w:rPr>
      </w:pPr>
      <w:bookmarkStart w:id="4" w:name="_Hlk197454395"/>
      <w:r w:rsidRPr="00561F06">
        <w:rPr>
          <w:rFonts w:ascii="Arial" w:hAnsi="Arial" w:cs="Arial"/>
          <w:sz w:val="22"/>
          <w:szCs w:val="22"/>
        </w:rPr>
        <w:t xml:space="preserve">Analysis of March 2025 data shows that minority ethnic staff at South West Yorkshire Partnership NHS FT have a higher mean hourly pay (£21.88) than White staff (£19.92). However, this masks disparities between specific groups: for example, staff identifying as “Black” earn the lowest mean pay (£18.76) while “Other” and “Asian” staff earn substantially more (around 28 £/hr). </w:t>
      </w:r>
    </w:p>
    <w:bookmarkEnd w:id="4"/>
    <w:p w14:paraId="6412CD67"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In terms of pay quartiles, minority ethnic representation rises in higher-paid roles (Asian staff double their share from lower to upper quartiles) whereas Black staff are under</w:t>
      </w:r>
      <w:r w:rsidRPr="00561F06">
        <w:rPr>
          <w:rFonts w:ascii="Cambria Math" w:hAnsi="Cambria Math" w:cs="Cambria Math"/>
          <w:sz w:val="22"/>
          <w:szCs w:val="22"/>
        </w:rPr>
        <w:t>‐</w:t>
      </w:r>
      <w:r w:rsidRPr="00561F06">
        <w:rPr>
          <w:rFonts w:ascii="Arial" w:hAnsi="Arial" w:cs="Arial"/>
          <w:sz w:val="22"/>
          <w:szCs w:val="22"/>
        </w:rPr>
        <w:t xml:space="preserve">represented at senior pay levels. </w:t>
      </w:r>
    </w:p>
    <w:p w14:paraId="405EC93A"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highlight w:val="yellow"/>
        </w:rPr>
        <w:t>Over 2018–2025 the Trust’s pay gap (White vs ethnic minority) has reduced (mean gap from –35% to –10%).</w:t>
      </w:r>
      <w:r w:rsidRPr="00561F06">
        <w:rPr>
          <w:rFonts w:ascii="Arial" w:hAnsi="Arial" w:cs="Arial"/>
          <w:sz w:val="22"/>
          <w:szCs w:val="22"/>
        </w:rPr>
        <w:t xml:space="preserve"> These internal findings must be seen in the broader UK context: nationally, significant ethnicity pay gaps persist, especially for Black and other minority workers. Given the diverse and growing workforce in the NHS, ongoing monitoring and targeted action are required.</w:t>
      </w:r>
    </w:p>
    <w:p w14:paraId="0F5A83A0" w14:textId="77777777" w:rsidR="00561F06" w:rsidRPr="00561F06" w:rsidRDefault="00561F06" w:rsidP="00561F06">
      <w:pPr>
        <w:spacing w:before="100" w:beforeAutospacing="1" w:after="100" w:afterAutospacing="1" w:line="300" w:lineRule="atLeast"/>
        <w:rPr>
          <w:rFonts w:ascii="Arial" w:hAnsi="Arial" w:cs="Arial"/>
          <w:b/>
          <w:bCs/>
        </w:rPr>
      </w:pPr>
      <w:r w:rsidRPr="00561F06">
        <w:rPr>
          <w:rFonts w:ascii="Arial" w:hAnsi="Arial" w:cs="Arial"/>
          <w:b/>
          <w:bCs/>
        </w:rPr>
        <w:t>Key Findings</w:t>
      </w:r>
    </w:p>
    <w:p w14:paraId="1E784487" w14:textId="77777777" w:rsidR="00561F06" w:rsidRPr="00561F06" w:rsidRDefault="00561F06" w:rsidP="00561F06">
      <w:pPr>
        <w:numPr>
          <w:ilvl w:val="0"/>
          <w:numId w:val="8"/>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Overall Pay Gap (2025):</w:t>
      </w:r>
      <w:r w:rsidRPr="00561F06">
        <w:rPr>
          <w:rFonts w:ascii="Arial" w:hAnsi="Arial" w:cs="Arial"/>
          <w:sz w:val="22"/>
          <w:szCs w:val="22"/>
        </w:rPr>
        <w:t> Mean hourly pay for ethnic minority staff (£21.88) exceeds that for White staff (£19.92) by 9.8%. In absolute terms ethnic minority staff earn £1.96 more per hour. (Note: median pay for White British is £18.66 vs ethnic minority medians ranging from £18.51 to £20.15 – see breakdown below.)</w:t>
      </w:r>
    </w:p>
    <w:p w14:paraId="06E9B9C0" w14:textId="77777777" w:rsidR="00561F06" w:rsidRPr="00561F06" w:rsidRDefault="00561F06" w:rsidP="00561F06">
      <w:pPr>
        <w:numPr>
          <w:ilvl w:val="0"/>
          <w:numId w:val="8"/>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By Ethnic Group:</w:t>
      </w:r>
      <w:r w:rsidRPr="00561F06">
        <w:rPr>
          <w:rFonts w:ascii="Arial" w:hAnsi="Arial" w:cs="Arial"/>
          <w:sz w:val="22"/>
          <w:szCs w:val="22"/>
        </w:rPr>
        <w:t> Other staff have the highest mean pay (£28.23), followed by Asian (£27.41); White Other (£22.05) and Mixed (£20.96) are slightly above the overall White mean; White British is about £19.85.  Black staff have a mean below White (£18.76, about 5.9% less than White). In median terms, Other and Asian medians (£20.15, £19.92) are above White British/White Other (both £18.66), while Black median (£18.51) is slightly below.</w:t>
      </w:r>
    </w:p>
    <w:p w14:paraId="4F87B1E6" w14:textId="77777777" w:rsidR="00561F06" w:rsidRPr="00561F06" w:rsidRDefault="00561F06" w:rsidP="00561F06">
      <w:pPr>
        <w:numPr>
          <w:ilvl w:val="0"/>
          <w:numId w:val="8"/>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Pay Quartile Distribution:</w:t>
      </w:r>
      <w:r w:rsidRPr="00561F06">
        <w:rPr>
          <w:rFonts w:ascii="Arial" w:hAnsi="Arial" w:cs="Arial"/>
          <w:sz w:val="22"/>
          <w:szCs w:val="22"/>
        </w:rPr>
        <w:t> White British staff dominate every quartile but their share declines slightly at higher pay. Ethnic minority constitute 14.3% of staff in the lowest quartile and 17.1% in the highest. Notably, Asian staff rise from 5.3% of the lowest quartile to 9.9% of the highest, while Black staff drop from 6.8% to 4.2%. This suggests that Asian and Other minorities are more represented in senior pay bands, whereas Black staff are under-represented.</w:t>
      </w:r>
    </w:p>
    <w:p w14:paraId="23C09268" w14:textId="0EF4D435" w:rsidR="00561F06" w:rsidRPr="00A35238" w:rsidRDefault="00561F06" w:rsidP="00561F06">
      <w:pPr>
        <w:numPr>
          <w:ilvl w:val="0"/>
          <w:numId w:val="8"/>
        </w:numPr>
        <w:spacing w:before="100" w:beforeAutospacing="1" w:after="100" w:afterAutospacing="1" w:line="300" w:lineRule="atLeast"/>
        <w:rPr>
          <w:rFonts w:ascii="Arial" w:hAnsi="Arial" w:cs="Arial"/>
          <w:sz w:val="22"/>
          <w:szCs w:val="22"/>
        </w:rPr>
      </w:pPr>
      <w:r w:rsidRPr="00A35238">
        <w:rPr>
          <w:rFonts w:ascii="Arial" w:hAnsi="Arial" w:cs="Arial"/>
          <w:b/>
          <w:bCs/>
          <w:sz w:val="22"/>
          <w:szCs w:val="22"/>
        </w:rPr>
        <w:t>Trend (2018–2025):</w:t>
      </w:r>
      <w:r w:rsidRPr="00A35238">
        <w:rPr>
          <w:rFonts w:ascii="Arial" w:hAnsi="Arial" w:cs="Arial"/>
          <w:sz w:val="22"/>
          <w:szCs w:val="22"/>
        </w:rPr>
        <w:t xml:space="preserve"> The mean pay gap (White vs ethnic minority) has closed significantly over time – from a </w:t>
      </w:r>
      <w:r w:rsidR="00A35238" w:rsidRPr="00A35238">
        <w:rPr>
          <w:rFonts w:ascii="Arial" w:hAnsi="Arial" w:cs="Arial"/>
          <w:sz w:val="22"/>
          <w:szCs w:val="22"/>
        </w:rPr>
        <w:t>-35.2</w:t>
      </w:r>
      <w:r w:rsidRPr="00A35238">
        <w:rPr>
          <w:rFonts w:ascii="Arial" w:hAnsi="Arial" w:cs="Arial"/>
          <w:sz w:val="22"/>
          <w:szCs w:val="22"/>
        </w:rPr>
        <w:t xml:space="preserve">% shortfall in 2018 to </w:t>
      </w:r>
      <w:r w:rsidR="00A35238" w:rsidRPr="00A35238">
        <w:rPr>
          <w:rFonts w:ascii="Arial" w:hAnsi="Arial" w:cs="Arial"/>
          <w:sz w:val="22"/>
          <w:szCs w:val="22"/>
        </w:rPr>
        <w:t>-</w:t>
      </w:r>
      <w:r w:rsidRPr="00A35238">
        <w:rPr>
          <w:rFonts w:ascii="Arial" w:hAnsi="Arial" w:cs="Arial"/>
          <w:sz w:val="22"/>
          <w:szCs w:val="22"/>
        </w:rPr>
        <w:t xml:space="preserve">9.8% in 2025 (White pay as a percentage of ethnic minority pay). The median gap has fluctuated near parity since 2021. </w:t>
      </w:r>
    </w:p>
    <w:p w14:paraId="2DBD6F0F" w14:textId="77777777" w:rsidR="00561F06" w:rsidRPr="00561F06" w:rsidRDefault="00561F06" w:rsidP="00561F06">
      <w:pPr>
        <w:spacing w:before="100" w:beforeAutospacing="1" w:after="100" w:afterAutospacing="1" w:line="300" w:lineRule="atLeast"/>
        <w:ind w:left="720"/>
        <w:rPr>
          <w:rFonts w:ascii="Arial" w:hAnsi="Arial" w:cs="Arial"/>
          <w:sz w:val="22"/>
          <w:szCs w:val="22"/>
        </w:rPr>
      </w:pPr>
    </w:p>
    <w:p w14:paraId="575A4CAB" w14:textId="77777777" w:rsidR="00561F06" w:rsidRPr="00561F06" w:rsidRDefault="00561F06" w:rsidP="00561F06">
      <w:pPr>
        <w:numPr>
          <w:ilvl w:val="0"/>
          <w:numId w:val="8"/>
        </w:numPr>
        <w:spacing w:before="100" w:beforeAutospacing="1" w:after="100" w:afterAutospacing="1" w:line="300" w:lineRule="atLeast"/>
        <w:rPr>
          <w:rFonts w:ascii="Arial" w:hAnsi="Arial" w:cs="Arial"/>
          <w:sz w:val="22"/>
          <w:szCs w:val="22"/>
        </w:rPr>
      </w:pPr>
      <w:r w:rsidRPr="00561F06">
        <w:rPr>
          <w:rFonts w:ascii="Arial" w:hAnsi="Arial" w:cs="Arial"/>
          <w:sz w:val="22"/>
          <w:szCs w:val="22"/>
        </w:rPr>
        <w:lastRenderedPageBreak/>
        <w:t>This improvement at SWYPFT contrasts with the broader UK trend, where raw gaps have narrowed but underlying factors still disadvantage ethnic minorities.</w:t>
      </w:r>
    </w:p>
    <w:p w14:paraId="3E3C1B21" w14:textId="77777777" w:rsidR="00561F06" w:rsidRPr="00561F06" w:rsidRDefault="00561F06" w:rsidP="00561F06">
      <w:pPr>
        <w:numPr>
          <w:ilvl w:val="0"/>
          <w:numId w:val="8"/>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UK Labour Market Context:</w:t>
      </w:r>
      <w:r w:rsidRPr="00561F06">
        <w:rPr>
          <w:rFonts w:ascii="Arial" w:hAnsi="Arial" w:cs="Arial"/>
          <w:sz w:val="22"/>
          <w:szCs w:val="22"/>
        </w:rPr>
        <w:t> National statistics show that most ethnic minorities earn less than White peers when comparable factors are accounted for. For example, ONS data indicate Black UK-born employees earned 5.6% less than white employees (12/2022 data) and Black workers remain the only group consistently paid less than White employees. The NHS in particular has a large and growing non-UK-born workforce, making equity in pay important.</w:t>
      </w:r>
    </w:p>
    <w:p w14:paraId="22E9A71E"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Figure 1:</w:t>
      </w:r>
    </w:p>
    <w:p w14:paraId="78BCF37A" w14:textId="77777777" w:rsidR="00561F06" w:rsidRPr="00561F06" w:rsidRDefault="00561F06" w:rsidP="00561F06">
      <w:pPr>
        <w:spacing w:before="100" w:beforeAutospacing="1" w:after="100" w:afterAutospacing="1" w:line="300" w:lineRule="atLeast"/>
        <w:jc w:val="center"/>
        <w:rPr>
          <w:rFonts w:ascii="Arial" w:hAnsi="Arial" w:cs="Arial"/>
          <w:b/>
          <w:bCs/>
          <w:sz w:val="22"/>
          <w:szCs w:val="22"/>
        </w:rPr>
      </w:pPr>
      <w:r w:rsidRPr="00561F06">
        <w:rPr>
          <w:rFonts w:ascii="Arial" w:hAnsi="Arial" w:cs="Arial"/>
          <w:noProof/>
          <w:sz w:val="22"/>
          <w:szCs w:val="22"/>
        </w:rPr>
        <w:drawing>
          <wp:inline distT="0" distB="0" distL="0" distR="0" wp14:anchorId="7E460711" wp14:editId="5F8A04B8">
            <wp:extent cx="4279900" cy="2444750"/>
            <wp:effectExtent l="0" t="0" r="6350" b="12700"/>
            <wp:docPr id="1452020562" name="Chart 1">
              <a:extLst xmlns:a="http://schemas.openxmlformats.org/drawingml/2006/main">
                <a:ext uri="{FF2B5EF4-FFF2-40B4-BE49-F238E27FC236}">
                  <a16:creationId xmlns:a16="http://schemas.microsoft.com/office/drawing/2014/main" id="{DEA79402-B824-E7E7-4765-037782068C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3D57766" w14:textId="77777777" w:rsidR="00561F06" w:rsidRPr="00561F06" w:rsidRDefault="00561F06" w:rsidP="00561F06">
      <w:pPr>
        <w:spacing w:before="100" w:beforeAutospacing="1" w:after="100" w:afterAutospacing="1" w:line="300" w:lineRule="atLeast"/>
        <w:jc w:val="center"/>
        <w:rPr>
          <w:rFonts w:ascii="Arial" w:hAnsi="Arial" w:cs="Arial"/>
          <w:b/>
          <w:bCs/>
          <w:sz w:val="22"/>
          <w:szCs w:val="22"/>
        </w:rPr>
      </w:pPr>
    </w:p>
    <w:p w14:paraId="2F524312" w14:textId="77777777" w:rsidR="00561F06" w:rsidRPr="00561F06" w:rsidRDefault="00561F06" w:rsidP="00561F06">
      <w:pPr>
        <w:pStyle w:val="ListParagraph"/>
        <w:numPr>
          <w:ilvl w:val="0"/>
          <w:numId w:val="10"/>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Mean and Median Pay comparing white staff and all ethnic minority (2025):</w:t>
      </w:r>
      <w:r w:rsidRPr="00561F06">
        <w:rPr>
          <w:rFonts w:ascii="Arial" w:hAnsi="Arial" w:cs="Arial"/>
          <w:sz w:val="22"/>
          <w:szCs w:val="22"/>
        </w:rPr>
        <w:t xml:space="preserve">  Figure 1 shows ethnic minority staff had a mean hourly pay of £21.88 compared to £19.92 for White staff, reflecting a </w:t>
      </w:r>
      <w:r w:rsidRPr="00A35238">
        <w:rPr>
          <w:rFonts w:ascii="Arial" w:hAnsi="Arial" w:cs="Arial"/>
          <w:sz w:val="22"/>
          <w:szCs w:val="22"/>
        </w:rPr>
        <w:t>pay gap of -9.8% in favour</w:t>
      </w:r>
      <w:r w:rsidRPr="00561F06">
        <w:rPr>
          <w:rFonts w:ascii="Arial" w:hAnsi="Arial" w:cs="Arial"/>
          <w:sz w:val="22"/>
          <w:szCs w:val="22"/>
        </w:rPr>
        <w:t xml:space="preserve"> of ethnic minority. Median pay was nearly equal (£18.98 for ethnic minority vs £18.66 for White), a -1.7% gap.  For context, many UK employers report a positive ethnicity pay gap (minority staff paid less), whereas SWYPFT shows a slightly negative gap on these measures, indicating minority staff earn marginally more on average. The very small median gap here suggests parity at the middle of the pay range, while the wider mean gap is influenced by the distribution of roles (with ethnic minority staff holding some higher-paid positions that lift their average pay). </w:t>
      </w:r>
    </w:p>
    <w:p w14:paraId="01E3DA2B" w14:textId="77777777" w:rsidR="00561F06" w:rsidRPr="00561F06" w:rsidRDefault="00561F06" w:rsidP="00561F06">
      <w:pPr>
        <w:spacing w:before="100" w:beforeAutospacing="1" w:after="100" w:afterAutospacing="1" w:line="300" w:lineRule="atLeast"/>
        <w:rPr>
          <w:rFonts w:ascii="Arial" w:hAnsi="Arial" w:cs="Arial"/>
          <w:sz w:val="22"/>
          <w:szCs w:val="22"/>
        </w:rPr>
      </w:pPr>
    </w:p>
    <w:p w14:paraId="4DF9C779" w14:textId="77777777" w:rsidR="00561F06" w:rsidRDefault="00561F06" w:rsidP="00561F06">
      <w:pPr>
        <w:spacing w:before="100" w:beforeAutospacing="1" w:after="100" w:afterAutospacing="1" w:line="300" w:lineRule="atLeast"/>
        <w:rPr>
          <w:rFonts w:ascii="Arial" w:hAnsi="Arial" w:cs="Arial"/>
          <w:sz w:val="22"/>
          <w:szCs w:val="22"/>
        </w:rPr>
      </w:pPr>
    </w:p>
    <w:p w14:paraId="27B41D6C" w14:textId="77777777" w:rsidR="00561F06" w:rsidRDefault="00561F06" w:rsidP="00561F06">
      <w:pPr>
        <w:spacing w:before="100" w:beforeAutospacing="1" w:after="100" w:afterAutospacing="1" w:line="300" w:lineRule="atLeast"/>
        <w:rPr>
          <w:rFonts w:ascii="Arial" w:hAnsi="Arial" w:cs="Arial"/>
          <w:sz w:val="22"/>
          <w:szCs w:val="22"/>
        </w:rPr>
      </w:pPr>
    </w:p>
    <w:p w14:paraId="0ACBE258" w14:textId="77777777" w:rsidR="00561F06" w:rsidRDefault="00561F06" w:rsidP="00561F06">
      <w:pPr>
        <w:spacing w:before="100" w:beforeAutospacing="1" w:after="100" w:afterAutospacing="1" w:line="300" w:lineRule="atLeast"/>
        <w:rPr>
          <w:rFonts w:ascii="Arial" w:hAnsi="Arial" w:cs="Arial"/>
          <w:sz w:val="22"/>
          <w:szCs w:val="22"/>
        </w:rPr>
      </w:pPr>
    </w:p>
    <w:p w14:paraId="672EC6B7" w14:textId="77777777" w:rsidR="00561F06" w:rsidRDefault="00561F06" w:rsidP="00561F06">
      <w:pPr>
        <w:spacing w:before="100" w:beforeAutospacing="1" w:after="100" w:afterAutospacing="1" w:line="300" w:lineRule="atLeast"/>
        <w:rPr>
          <w:rFonts w:ascii="Arial" w:hAnsi="Arial" w:cs="Arial"/>
          <w:sz w:val="22"/>
          <w:szCs w:val="22"/>
        </w:rPr>
      </w:pPr>
    </w:p>
    <w:p w14:paraId="488D028F" w14:textId="088A5285" w:rsidR="00561F06" w:rsidRPr="00561F06" w:rsidRDefault="00561F06" w:rsidP="00561F06">
      <w:pPr>
        <w:spacing w:before="100" w:beforeAutospacing="1" w:after="100" w:afterAutospacing="1" w:line="300" w:lineRule="atLeast"/>
        <w:rPr>
          <w:rFonts w:ascii="Arial" w:hAnsi="Arial" w:cs="Arial"/>
          <w:sz w:val="22"/>
          <w:szCs w:val="22"/>
        </w:rPr>
      </w:pPr>
      <w:r>
        <w:rPr>
          <w:rFonts w:ascii="Arial" w:hAnsi="Arial" w:cs="Arial"/>
          <w:sz w:val="22"/>
          <w:szCs w:val="22"/>
        </w:rPr>
        <w:lastRenderedPageBreak/>
        <w:t>Figure 2:</w:t>
      </w:r>
    </w:p>
    <w:p w14:paraId="1A8D88C0" w14:textId="0E1B4BEA" w:rsidR="00561F06" w:rsidRPr="00561F06" w:rsidRDefault="00561F06" w:rsidP="00561F06">
      <w:pPr>
        <w:spacing w:before="100" w:beforeAutospacing="1" w:after="100" w:afterAutospacing="1" w:line="300" w:lineRule="atLeast"/>
        <w:jc w:val="center"/>
        <w:rPr>
          <w:rFonts w:ascii="Arial" w:hAnsi="Arial" w:cs="Arial"/>
          <w:sz w:val="22"/>
          <w:szCs w:val="22"/>
        </w:rPr>
      </w:pPr>
      <w:r w:rsidRPr="00561F06">
        <w:rPr>
          <w:rFonts w:ascii="Arial" w:hAnsi="Arial" w:cs="Arial"/>
          <w:noProof/>
          <w:sz w:val="22"/>
          <w:szCs w:val="22"/>
        </w:rPr>
        <w:drawing>
          <wp:inline distT="0" distB="0" distL="0" distR="0" wp14:anchorId="4CE3F643" wp14:editId="4D353ABD">
            <wp:extent cx="5044440" cy="2903220"/>
            <wp:effectExtent l="0" t="0" r="3810" b="11430"/>
            <wp:docPr id="581750" name="Chart 1">
              <a:extLst xmlns:a="http://schemas.openxmlformats.org/drawingml/2006/main">
                <a:ext uri="{FF2B5EF4-FFF2-40B4-BE49-F238E27FC236}">
                  <a16:creationId xmlns:a16="http://schemas.microsoft.com/office/drawing/2014/main" id="{6A1656DE-DD8A-B1EC-FF96-E28D5C2CE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C3E7F8" w14:textId="77777777" w:rsidR="00561F06" w:rsidRPr="00561F06" w:rsidRDefault="00561F06" w:rsidP="00561F06">
      <w:pPr>
        <w:numPr>
          <w:ilvl w:val="0"/>
          <w:numId w:val="9"/>
        </w:numPr>
        <w:spacing w:before="100" w:beforeAutospacing="1" w:after="100" w:afterAutospacing="1" w:line="300" w:lineRule="atLeast"/>
        <w:rPr>
          <w:rFonts w:ascii="Arial" w:hAnsi="Arial" w:cs="Arial"/>
          <w:sz w:val="22"/>
          <w:szCs w:val="22"/>
        </w:rPr>
      </w:pPr>
      <w:bookmarkStart w:id="5" w:name="_Hlk197454783"/>
      <w:r w:rsidRPr="00561F06">
        <w:rPr>
          <w:rFonts w:ascii="Arial" w:hAnsi="Arial" w:cs="Arial"/>
          <w:b/>
          <w:bCs/>
          <w:sz w:val="22"/>
          <w:szCs w:val="22"/>
        </w:rPr>
        <w:t>Mean and Median Pay by Ethnicity (2025):</w:t>
      </w:r>
      <w:r w:rsidRPr="00561F06">
        <w:rPr>
          <w:rFonts w:ascii="Arial" w:hAnsi="Arial" w:cs="Arial"/>
          <w:sz w:val="22"/>
          <w:szCs w:val="22"/>
        </w:rPr>
        <w:t> Figure 2 above compares mean and median hourly pay for each ethnic group (Asian, Black, Mixed, Other, White British, White Other). This highlights that Other and Asian staff have the highest pay, while Black staff have the lowest.</w:t>
      </w:r>
    </w:p>
    <w:bookmarkEnd w:id="5"/>
    <w:p w14:paraId="70A6F41A"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Figure 3:</w:t>
      </w:r>
    </w:p>
    <w:p w14:paraId="4FEF6F92" w14:textId="77777777" w:rsidR="00561F06" w:rsidRPr="00561F06" w:rsidRDefault="00561F06" w:rsidP="00561F06">
      <w:pPr>
        <w:spacing w:before="100" w:beforeAutospacing="1" w:after="100" w:afterAutospacing="1" w:line="300" w:lineRule="atLeast"/>
        <w:jc w:val="center"/>
        <w:rPr>
          <w:rFonts w:ascii="Arial" w:hAnsi="Arial" w:cs="Arial"/>
          <w:sz w:val="22"/>
          <w:szCs w:val="22"/>
        </w:rPr>
      </w:pPr>
      <w:r w:rsidRPr="00561F06">
        <w:rPr>
          <w:rFonts w:ascii="Arial" w:hAnsi="Arial" w:cs="Arial"/>
          <w:noProof/>
          <w:sz w:val="22"/>
          <w:szCs w:val="22"/>
        </w:rPr>
        <w:drawing>
          <wp:inline distT="0" distB="0" distL="0" distR="0" wp14:anchorId="0E6949CA" wp14:editId="78409169">
            <wp:extent cx="4838700" cy="2559050"/>
            <wp:effectExtent l="0" t="0" r="0" b="12700"/>
            <wp:docPr id="1136032245" name="Chart 1">
              <a:extLst xmlns:a="http://schemas.openxmlformats.org/drawingml/2006/main">
                <a:ext uri="{FF2B5EF4-FFF2-40B4-BE49-F238E27FC236}">
                  <a16:creationId xmlns:a16="http://schemas.microsoft.com/office/drawing/2014/main" id="{79B7AA0D-AFFF-75C5-FF19-4A88DF39F1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F98240F" w14:textId="740B1F76" w:rsidR="00561F06" w:rsidRPr="00A35238" w:rsidRDefault="00561F06" w:rsidP="00561F06">
      <w:pPr>
        <w:numPr>
          <w:ilvl w:val="0"/>
          <w:numId w:val="9"/>
        </w:numPr>
        <w:spacing w:before="100" w:beforeAutospacing="1" w:after="100" w:afterAutospacing="1" w:line="300" w:lineRule="atLeast"/>
        <w:rPr>
          <w:rFonts w:ascii="Arial" w:hAnsi="Arial" w:cs="Arial"/>
          <w:sz w:val="22"/>
          <w:szCs w:val="22"/>
        </w:rPr>
      </w:pPr>
      <w:r w:rsidRPr="00A35238">
        <w:rPr>
          <w:rFonts w:ascii="Arial" w:hAnsi="Arial" w:cs="Arial"/>
          <w:b/>
          <w:bCs/>
          <w:sz w:val="22"/>
          <w:szCs w:val="22"/>
        </w:rPr>
        <w:t>Pay Gap (White vs ethnic minority) by Year:</w:t>
      </w:r>
      <w:r w:rsidRPr="00A35238">
        <w:rPr>
          <w:rFonts w:ascii="Arial" w:hAnsi="Arial" w:cs="Arial"/>
          <w:sz w:val="22"/>
          <w:szCs w:val="22"/>
        </w:rPr>
        <w:t xml:space="preserve"> Figure 3 shows the mean and median pay gaps from 2018 to 2025. This shows the narrowing gap (from </w:t>
      </w:r>
      <w:r w:rsidR="00A35238" w:rsidRPr="00A35238">
        <w:rPr>
          <w:rFonts w:ascii="Arial" w:hAnsi="Arial" w:cs="Arial"/>
          <w:sz w:val="22"/>
          <w:szCs w:val="22"/>
        </w:rPr>
        <w:t>-</w:t>
      </w:r>
      <w:r w:rsidRPr="00A35238">
        <w:rPr>
          <w:rFonts w:ascii="Arial" w:hAnsi="Arial" w:cs="Arial"/>
          <w:sz w:val="22"/>
          <w:szCs w:val="22"/>
        </w:rPr>
        <w:t>3</w:t>
      </w:r>
      <w:r w:rsidR="00A35238" w:rsidRPr="00A35238">
        <w:rPr>
          <w:rFonts w:ascii="Arial" w:hAnsi="Arial" w:cs="Arial"/>
          <w:sz w:val="22"/>
          <w:szCs w:val="22"/>
        </w:rPr>
        <w:t>5.2</w:t>
      </w:r>
      <w:r w:rsidRPr="00A35238">
        <w:rPr>
          <w:rFonts w:ascii="Arial" w:hAnsi="Arial" w:cs="Arial"/>
          <w:sz w:val="22"/>
          <w:szCs w:val="22"/>
        </w:rPr>
        <w:t xml:space="preserve">% to </w:t>
      </w:r>
      <w:r w:rsidR="00A35238" w:rsidRPr="00A35238">
        <w:rPr>
          <w:rFonts w:ascii="Arial" w:hAnsi="Arial" w:cs="Arial"/>
          <w:sz w:val="22"/>
          <w:szCs w:val="22"/>
        </w:rPr>
        <w:t>-9.8</w:t>
      </w:r>
      <w:r w:rsidRPr="00A35238">
        <w:rPr>
          <w:rFonts w:ascii="Arial" w:hAnsi="Arial" w:cs="Arial"/>
          <w:sz w:val="22"/>
          <w:szCs w:val="22"/>
        </w:rPr>
        <w:t>% in mean pay) and median gap fluctuating around zero.</w:t>
      </w:r>
    </w:p>
    <w:p w14:paraId="7AAC1C20" w14:textId="77777777" w:rsidR="00561F06" w:rsidRPr="00561F06" w:rsidRDefault="00561F06" w:rsidP="00561F06">
      <w:pPr>
        <w:spacing w:before="100" w:beforeAutospacing="1" w:after="100" w:afterAutospacing="1" w:line="300" w:lineRule="atLeast"/>
        <w:rPr>
          <w:rFonts w:ascii="Arial" w:hAnsi="Arial" w:cs="Arial"/>
          <w:sz w:val="22"/>
          <w:szCs w:val="22"/>
        </w:rPr>
      </w:pPr>
    </w:p>
    <w:p w14:paraId="17A90F7C" w14:textId="77777777" w:rsidR="00561F06" w:rsidRPr="00561F06" w:rsidRDefault="00561F06" w:rsidP="00561F06">
      <w:pPr>
        <w:spacing w:before="100" w:beforeAutospacing="1" w:after="100" w:afterAutospacing="1" w:line="300" w:lineRule="atLeast"/>
        <w:rPr>
          <w:rFonts w:ascii="Arial" w:hAnsi="Arial" w:cs="Arial"/>
          <w:sz w:val="22"/>
          <w:szCs w:val="22"/>
        </w:rPr>
      </w:pPr>
    </w:p>
    <w:p w14:paraId="4BC3D081"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lastRenderedPageBreak/>
        <w:t>Figure 4:</w:t>
      </w:r>
    </w:p>
    <w:p w14:paraId="3222B124" w14:textId="77777777" w:rsidR="00561F06" w:rsidRPr="00561F06" w:rsidRDefault="00561F06" w:rsidP="00561F06">
      <w:pPr>
        <w:spacing w:before="100" w:beforeAutospacing="1" w:after="100" w:afterAutospacing="1" w:line="300" w:lineRule="atLeast"/>
        <w:jc w:val="center"/>
        <w:rPr>
          <w:rFonts w:ascii="Arial" w:hAnsi="Arial" w:cs="Arial"/>
          <w:sz w:val="22"/>
          <w:szCs w:val="22"/>
        </w:rPr>
      </w:pPr>
      <w:r w:rsidRPr="00561F06">
        <w:rPr>
          <w:rFonts w:ascii="Arial" w:hAnsi="Arial" w:cs="Arial"/>
          <w:noProof/>
          <w:sz w:val="22"/>
          <w:szCs w:val="22"/>
        </w:rPr>
        <w:drawing>
          <wp:inline distT="0" distB="0" distL="0" distR="0" wp14:anchorId="601770D7" wp14:editId="7E50C025">
            <wp:extent cx="4756150" cy="2959100"/>
            <wp:effectExtent l="0" t="0" r="6350" b="12700"/>
            <wp:docPr id="501904563" name="Chart 1">
              <a:extLst xmlns:a="http://schemas.openxmlformats.org/drawingml/2006/main">
                <a:ext uri="{FF2B5EF4-FFF2-40B4-BE49-F238E27FC236}">
                  <a16:creationId xmlns:a16="http://schemas.microsoft.com/office/drawing/2014/main" id="{222A7D76-496F-D7D0-E624-5B60DC17A3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7F28878" w14:textId="77777777" w:rsidR="00561F06" w:rsidRPr="00561F06" w:rsidRDefault="00561F06" w:rsidP="00561F06">
      <w:pPr>
        <w:pStyle w:val="ListParagraph"/>
        <w:numPr>
          <w:ilvl w:val="0"/>
          <w:numId w:val="10"/>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White and ethnic minority staff by Pay Quartiles (2025):</w:t>
      </w:r>
      <w:r w:rsidRPr="00561F06">
        <w:rPr>
          <w:rFonts w:ascii="Arial" w:hAnsi="Arial" w:cs="Arial"/>
          <w:sz w:val="22"/>
          <w:szCs w:val="22"/>
        </w:rPr>
        <w:t>  Each bar in Figure 5 below represents one quartile of the pay distribution. The bars are split into the percentage of White (blue) and ethnic minority (green) staff in that quartile. </w:t>
      </w:r>
    </w:p>
    <w:p w14:paraId="2E6A4DFE" w14:textId="77777777" w:rsidR="00561F06" w:rsidRPr="00561F06" w:rsidRDefault="00561F06" w:rsidP="00561F06">
      <w:pPr>
        <w:numPr>
          <w:ilvl w:val="0"/>
          <w:numId w:val="10"/>
        </w:numPr>
        <w:spacing w:before="100" w:beforeAutospacing="1" w:after="100" w:afterAutospacing="1" w:line="300" w:lineRule="atLeast"/>
        <w:rPr>
          <w:rFonts w:ascii="Arial" w:hAnsi="Arial" w:cs="Arial"/>
          <w:sz w:val="22"/>
          <w:szCs w:val="22"/>
        </w:rPr>
      </w:pPr>
      <w:r w:rsidRPr="00561F06">
        <w:rPr>
          <w:rFonts w:ascii="Arial" w:hAnsi="Arial" w:cs="Arial"/>
          <w:b/>
          <w:bCs/>
          <w:sz w:val="22"/>
          <w:szCs w:val="22"/>
        </w:rPr>
        <w:t>Staff by Ethnic Group in Pay Quartiles (2025):</w:t>
      </w:r>
      <w:r w:rsidRPr="00561F06">
        <w:rPr>
          <w:rFonts w:ascii="Arial" w:hAnsi="Arial" w:cs="Arial"/>
          <w:sz w:val="22"/>
          <w:szCs w:val="22"/>
        </w:rPr>
        <w:t xml:space="preserve">  Figure 5 below the percentage of each ethnic group in the lower, lower-middle, upper-middle, and upper pay quartiles.  </w:t>
      </w:r>
      <w:r w:rsidRPr="00561F06">
        <w:rPr>
          <w:rFonts w:ascii="Arial" w:hAnsi="Arial" w:cs="Arial"/>
          <w:b/>
          <w:bCs/>
          <w:sz w:val="22"/>
          <w:szCs w:val="22"/>
        </w:rPr>
        <w:t>White British staff</w:t>
      </w:r>
      <w:r w:rsidRPr="00561F06">
        <w:rPr>
          <w:rFonts w:ascii="Arial" w:hAnsi="Arial" w:cs="Arial"/>
          <w:sz w:val="22"/>
          <w:szCs w:val="22"/>
        </w:rPr>
        <w:t xml:space="preserve"> make up the majority in all quartiles but slightly decrease in share toward the upper quartile. </w:t>
      </w:r>
      <w:r w:rsidRPr="00561F06">
        <w:rPr>
          <w:rFonts w:ascii="Arial" w:hAnsi="Arial" w:cs="Arial"/>
          <w:b/>
          <w:bCs/>
          <w:sz w:val="22"/>
          <w:szCs w:val="22"/>
        </w:rPr>
        <w:t>Asian staff</w:t>
      </w:r>
      <w:r w:rsidRPr="00561F06">
        <w:rPr>
          <w:rFonts w:ascii="Arial" w:hAnsi="Arial" w:cs="Arial"/>
          <w:sz w:val="22"/>
          <w:szCs w:val="22"/>
        </w:rPr>
        <w:t xml:space="preserve"> increase their representation in the upper quartile. </w:t>
      </w:r>
      <w:r w:rsidRPr="00561F06">
        <w:rPr>
          <w:rFonts w:ascii="Arial" w:hAnsi="Arial" w:cs="Arial"/>
          <w:b/>
          <w:bCs/>
          <w:sz w:val="22"/>
          <w:szCs w:val="22"/>
        </w:rPr>
        <w:t>Black staff</w:t>
      </w:r>
      <w:r w:rsidRPr="00561F06">
        <w:rPr>
          <w:rFonts w:ascii="Arial" w:hAnsi="Arial" w:cs="Arial"/>
          <w:sz w:val="22"/>
          <w:szCs w:val="22"/>
        </w:rPr>
        <w:t xml:space="preserve"> are significantly more represented in the middle quartiles and drop sharply in the upper quartile. </w:t>
      </w:r>
      <w:r w:rsidRPr="00561F06">
        <w:rPr>
          <w:rFonts w:ascii="Arial" w:hAnsi="Arial" w:cs="Arial"/>
          <w:b/>
          <w:bCs/>
          <w:sz w:val="22"/>
          <w:szCs w:val="22"/>
        </w:rPr>
        <w:t>Other, Mixed, and White Other</w:t>
      </w:r>
      <w:r w:rsidRPr="00561F06">
        <w:rPr>
          <w:rFonts w:ascii="Arial" w:hAnsi="Arial" w:cs="Arial"/>
          <w:sz w:val="22"/>
          <w:szCs w:val="22"/>
        </w:rPr>
        <w:t xml:space="preserve"> categories show consistent but smaller proportions.</w:t>
      </w:r>
    </w:p>
    <w:p w14:paraId="3F3EE06A" w14:textId="60B7D246" w:rsidR="00561F06" w:rsidRPr="00561F06" w:rsidRDefault="00561F06" w:rsidP="00561F06">
      <w:pPr>
        <w:spacing w:before="100" w:beforeAutospacing="1" w:after="100" w:afterAutospacing="1" w:line="300" w:lineRule="atLeast"/>
        <w:rPr>
          <w:rFonts w:ascii="Arial" w:hAnsi="Arial" w:cs="Arial"/>
          <w:sz w:val="22"/>
          <w:szCs w:val="22"/>
        </w:rPr>
      </w:pPr>
      <w:r>
        <w:rPr>
          <w:rFonts w:ascii="Arial" w:hAnsi="Arial" w:cs="Arial"/>
          <w:sz w:val="22"/>
          <w:szCs w:val="22"/>
        </w:rPr>
        <w:t>Figure 5:</w:t>
      </w:r>
    </w:p>
    <w:p w14:paraId="6A3425DC" w14:textId="77777777" w:rsidR="00561F06" w:rsidRPr="00561F06" w:rsidRDefault="00561F06" w:rsidP="00561F06">
      <w:pPr>
        <w:spacing w:before="100" w:beforeAutospacing="1" w:after="100" w:afterAutospacing="1" w:line="300" w:lineRule="atLeast"/>
        <w:jc w:val="center"/>
        <w:rPr>
          <w:rFonts w:ascii="Arial" w:hAnsi="Arial" w:cs="Arial"/>
          <w:sz w:val="22"/>
          <w:szCs w:val="22"/>
        </w:rPr>
      </w:pPr>
      <w:r w:rsidRPr="00561F06">
        <w:rPr>
          <w:rFonts w:ascii="Arial" w:hAnsi="Arial" w:cs="Arial"/>
          <w:noProof/>
          <w:sz w:val="22"/>
          <w:szCs w:val="22"/>
        </w:rPr>
        <w:drawing>
          <wp:inline distT="0" distB="0" distL="0" distR="0" wp14:anchorId="7AE835B0" wp14:editId="69C2D5BF">
            <wp:extent cx="4597399" cy="2746929"/>
            <wp:effectExtent l="0" t="0" r="0" b="5080"/>
            <wp:docPr id="2013644649" name="Picture 16" descr="A chart of a group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97399" cy="2746929"/>
                    </a:xfrm>
                    <a:prstGeom prst="rect">
                      <a:avLst/>
                    </a:prstGeom>
                  </pic:spPr>
                </pic:pic>
              </a:graphicData>
            </a:graphic>
          </wp:inline>
        </w:drawing>
      </w:r>
    </w:p>
    <w:p w14:paraId="6D9D6394" w14:textId="77777777" w:rsidR="00561F06" w:rsidRPr="00561F06" w:rsidRDefault="00561F06" w:rsidP="00561F06">
      <w:pPr>
        <w:numPr>
          <w:ilvl w:val="0"/>
          <w:numId w:val="9"/>
        </w:numPr>
        <w:spacing w:before="100" w:beforeAutospacing="1" w:after="100" w:afterAutospacing="1" w:line="300" w:lineRule="atLeast"/>
        <w:rPr>
          <w:rFonts w:ascii="Arial" w:hAnsi="Arial" w:cs="Arial"/>
          <w:sz w:val="22"/>
          <w:szCs w:val="22"/>
        </w:rPr>
      </w:pPr>
      <w:r w:rsidRPr="00561F06">
        <w:rPr>
          <w:rFonts w:ascii="Arial" w:hAnsi="Arial" w:cs="Arial"/>
          <w:sz w:val="22"/>
          <w:szCs w:val="22"/>
        </w:rPr>
        <w:lastRenderedPageBreak/>
        <w:t>We see that ethnic minority</w:t>
      </w:r>
      <w:r w:rsidRPr="00561F06">
        <w:rPr>
          <w:rFonts w:ascii="Arial" w:hAnsi="Arial" w:cs="Arial"/>
          <w:b/>
          <w:bCs/>
          <w:sz w:val="22"/>
          <w:szCs w:val="22"/>
        </w:rPr>
        <w:t xml:space="preserve"> employees are 14.3% of the lowest-paid quartile and 17.1% of the highest-paid quartile</w:t>
      </w:r>
      <w:r w:rsidRPr="00561F06">
        <w:rPr>
          <w:rFonts w:ascii="Arial" w:hAnsi="Arial" w:cs="Arial"/>
          <w:sz w:val="22"/>
          <w:szCs w:val="22"/>
        </w:rPr>
        <w:t>, compared to 82.9%–85.7% White in those bands. In the </w:t>
      </w:r>
      <w:r w:rsidRPr="00561F06">
        <w:rPr>
          <w:rFonts w:ascii="Arial" w:hAnsi="Arial" w:cs="Arial"/>
          <w:b/>
          <w:bCs/>
          <w:sz w:val="22"/>
          <w:szCs w:val="22"/>
        </w:rPr>
        <w:t>lower-middle and upper-middle quartiles</w:t>
      </w:r>
      <w:r w:rsidRPr="00561F06">
        <w:rPr>
          <w:rFonts w:ascii="Arial" w:hAnsi="Arial" w:cs="Arial"/>
          <w:sz w:val="22"/>
          <w:szCs w:val="22"/>
        </w:rPr>
        <w:t>, ethnic minority make up about 25–26% of staff, with 74–75% White. This visualisation highlights the concentration of minority ethnic staff in the middle pay ranges and their under-representation at the top end. Increasing the green portion of the top quartile bar (to match or exceed 20%) will be a key goal moving forward, so that the leadership reflects the diversity of our overall workforce.</w:t>
      </w:r>
    </w:p>
    <w:p w14:paraId="4A020BDE" w14:textId="77777777" w:rsidR="00561F06" w:rsidRPr="00561F06" w:rsidRDefault="00561F06" w:rsidP="00561F06">
      <w:pPr>
        <w:spacing w:before="100" w:beforeAutospacing="1" w:after="100" w:afterAutospacing="1" w:line="300" w:lineRule="atLeast"/>
        <w:rPr>
          <w:rFonts w:ascii="Arial" w:hAnsi="Arial" w:cs="Arial"/>
          <w:b/>
          <w:bCs/>
        </w:rPr>
      </w:pPr>
      <w:r w:rsidRPr="00561F06">
        <w:rPr>
          <w:rFonts w:ascii="Arial" w:hAnsi="Arial" w:cs="Arial"/>
          <w:b/>
          <w:bCs/>
        </w:rPr>
        <w:t>Detailed Ethnic Group Breakdown</w:t>
      </w:r>
    </w:p>
    <w:p w14:paraId="4B8E1B17"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Trust data (March 2025) show wide variation by ethnic subgroup. The Other ethnicity category has the highest mean hourly pay at </w:t>
      </w:r>
      <w:r w:rsidRPr="00561F06">
        <w:rPr>
          <w:rFonts w:ascii="Arial" w:hAnsi="Arial" w:cs="Arial"/>
          <w:b/>
          <w:bCs/>
          <w:sz w:val="22"/>
          <w:szCs w:val="22"/>
        </w:rPr>
        <w:t>£28.23</w:t>
      </w:r>
      <w:r w:rsidRPr="00561F06">
        <w:rPr>
          <w:rFonts w:ascii="Arial" w:hAnsi="Arial" w:cs="Arial"/>
          <w:sz w:val="22"/>
          <w:szCs w:val="22"/>
        </w:rPr>
        <w:t>, substantially above the overall White staff mean (£19.92). Asian staff also earn high mean pay (£27.41). In contrast, Black staff have the lowest mean pay (£18.76), about 5.9% below the White mean. Both White Other (£22.05) and Mixed (£20.96) are modestly above the White British mean (£19.85). Median pay follows a similar pattern: Other (£20.15) and Asian (£19.92) medians exceed the White British median (£18.66), whereas Black median (£18.51) is slightly lower.</w:t>
      </w:r>
    </w:p>
    <w:p w14:paraId="25B21A39"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 These differences indicate that while overall ethnic minority pay is higher, it is driven by some groups. For instance, nearly half of Black staff have pay below £18.77/hr. This aligns with national patterns (ONS shows Black median below White). In contrast, Other and Asian groups pull up the ethnic minority average.</w:t>
      </w:r>
    </w:p>
    <w:p w14:paraId="3CA4C085"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 xml:space="preserve">The quartile distribution reinforces this: White British staff make up over 80% of both lowest and highest quartiles, but their share falls from 83% in the lower quartile to 80% in the upper quartile. Asian staff double their share across quartiles (5.3% → 9.9%), and </w:t>
      </w:r>
      <w:proofErr w:type="gramStart"/>
      <w:r w:rsidRPr="00561F06">
        <w:rPr>
          <w:rFonts w:ascii="Arial" w:hAnsi="Arial" w:cs="Arial"/>
          <w:sz w:val="22"/>
          <w:szCs w:val="22"/>
        </w:rPr>
        <w:t>Other</w:t>
      </w:r>
      <w:proofErr w:type="gramEnd"/>
      <w:r w:rsidRPr="00561F06">
        <w:rPr>
          <w:rFonts w:ascii="Arial" w:hAnsi="Arial" w:cs="Arial"/>
          <w:sz w:val="22"/>
          <w:szCs w:val="22"/>
        </w:rPr>
        <w:t xml:space="preserve"> staff more than double (0.4% → 0.9%, though numbers are small). Conversely, Black staff comprise 6.8% of the bottom quartile but only 4.2% of the top quartile. This suggests that Black employees face bottlenecks in progression to higher pay bands within the Trust.</w:t>
      </w:r>
    </w:p>
    <w:p w14:paraId="177A708E" w14:textId="77777777" w:rsidR="00561F06" w:rsidRPr="00561F06" w:rsidRDefault="00561F06" w:rsidP="00561F06">
      <w:pPr>
        <w:spacing w:before="100" w:beforeAutospacing="1" w:after="100" w:afterAutospacing="1" w:line="300" w:lineRule="atLeast"/>
        <w:rPr>
          <w:rFonts w:ascii="Arial" w:hAnsi="Arial" w:cs="Arial"/>
          <w:b/>
          <w:bCs/>
        </w:rPr>
      </w:pPr>
      <w:r w:rsidRPr="00561F06">
        <w:rPr>
          <w:rFonts w:ascii="Arial" w:hAnsi="Arial" w:cs="Arial"/>
          <w:b/>
          <w:bCs/>
        </w:rPr>
        <w:t>Pay Gap Trend Analysis (2018–2025)</w:t>
      </w:r>
    </w:p>
    <w:p w14:paraId="4F3CC0F1"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 xml:space="preserve">Historical data shows the pay gap (mean pay difference between White and ethnic minority) at SWYPFT narrowing.  In 2018–2019 White staff earned roughly 35% less per hour than ethnic minority. By 2023 this gap had fallen to around 14%, and by 2024–2025 it stabilised at about 9–10% (favouring ethnic minority). In parallel, the median pay gap turned slightly positive in 2022–2024 (White median just above ethnic minority) and returned to near zero by 2025. </w:t>
      </w:r>
    </w:p>
    <w:p w14:paraId="493C8E1F" w14:textId="26D24860"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 xml:space="preserve">The reduction in </w:t>
      </w:r>
      <w:r w:rsidR="007F5085" w:rsidRPr="005938BE">
        <w:rPr>
          <w:rFonts w:ascii="Arial" w:hAnsi="Arial" w:cs="Arial"/>
          <w:sz w:val="22"/>
          <w:szCs w:val="22"/>
        </w:rPr>
        <w:t>SWYPFT</w:t>
      </w:r>
      <w:r w:rsidRPr="00561F06">
        <w:rPr>
          <w:rFonts w:ascii="Arial" w:hAnsi="Arial" w:cs="Arial"/>
          <w:sz w:val="22"/>
          <w:szCs w:val="22"/>
        </w:rPr>
        <w:t xml:space="preserve">’s pay gap may reflect changes in workforce composition. It contrasts with national UK trends: while the raw ethnic pay gap has narrowed overall, ONS and independent analysis emphasise that many minorities (especially Black and Pakistani / Bangladeshi) remain disadvantaged when accounting for occupation, experience, and other factors. In effect, </w:t>
      </w:r>
      <w:r w:rsidR="007F5085" w:rsidRPr="005938BE">
        <w:rPr>
          <w:rFonts w:ascii="Arial" w:hAnsi="Arial" w:cs="Arial"/>
          <w:sz w:val="22"/>
          <w:szCs w:val="22"/>
        </w:rPr>
        <w:t>SWYPFT</w:t>
      </w:r>
      <w:r w:rsidRPr="00561F06">
        <w:rPr>
          <w:rFonts w:ascii="Arial" w:hAnsi="Arial" w:cs="Arial"/>
          <w:sz w:val="22"/>
          <w:szCs w:val="22"/>
        </w:rPr>
        <w:t>’s improved gap is positive, but national data suggest caution – systemic inequalities can persist even if headline gaps shrink.</w:t>
      </w:r>
    </w:p>
    <w:p w14:paraId="33250E82" w14:textId="77777777" w:rsidR="00561F06" w:rsidRPr="00561F06" w:rsidRDefault="00561F06" w:rsidP="00561F06">
      <w:pPr>
        <w:spacing w:before="100" w:beforeAutospacing="1" w:after="100" w:afterAutospacing="1" w:line="300" w:lineRule="atLeast"/>
        <w:rPr>
          <w:rFonts w:ascii="Arial" w:hAnsi="Arial" w:cs="Arial"/>
          <w:b/>
          <w:bCs/>
        </w:rPr>
      </w:pPr>
      <w:r w:rsidRPr="00561F06">
        <w:rPr>
          <w:rFonts w:ascii="Arial" w:hAnsi="Arial" w:cs="Arial"/>
          <w:b/>
          <w:bCs/>
        </w:rPr>
        <w:lastRenderedPageBreak/>
        <w:t xml:space="preserve">Recommendation </w:t>
      </w:r>
    </w:p>
    <w:p w14:paraId="2FAA6380"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We will combine the ethnicity and gender pay gap insights into the one comprehensive EDI improvement plan. This way, we can address all issues together and have a clear strategy for improving equity, diversity, and inclusion in our organisation.</w:t>
      </w:r>
    </w:p>
    <w:p w14:paraId="36B7E9E9" w14:textId="77777777" w:rsidR="00561F06" w:rsidRPr="00561F06" w:rsidRDefault="00561F06" w:rsidP="00561F06">
      <w:pPr>
        <w:spacing w:before="100" w:beforeAutospacing="1" w:after="100" w:afterAutospacing="1" w:line="300" w:lineRule="atLeast"/>
        <w:rPr>
          <w:rFonts w:ascii="Arial" w:hAnsi="Arial" w:cs="Arial"/>
          <w:b/>
          <w:bCs/>
        </w:rPr>
      </w:pPr>
      <w:r w:rsidRPr="00561F06">
        <w:rPr>
          <w:rFonts w:ascii="Arial" w:hAnsi="Arial" w:cs="Arial"/>
          <w:b/>
          <w:bCs/>
        </w:rPr>
        <w:t>Conclusion</w:t>
      </w:r>
    </w:p>
    <w:p w14:paraId="48956344" w14:textId="6BA8B22B" w:rsidR="00561F06" w:rsidRPr="00561F06" w:rsidRDefault="00561F06" w:rsidP="00561F06">
      <w:pPr>
        <w:spacing w:before="100" w:beforeAutospacing="1" w:after="100" w:afterAutospacing="1" w:line="300" w:lineRule="atLeast"/>
        <w:rPr>
          <w:rFonts w:ascii="Arial" w:hAnsi="Arial" w:cs="Arial"/>
          <w:sz w:val="22"/>
          <w:szCs w:val="22"/>
        </w:rPr>
      </w:pPr>
      <w:bookmarkStart w:id="6" w:name="_Hlk197454880"/>
      <w:r w:rsidRPr="00561F06">
        <w:rPr>
          <w:rFonts w:ascii="Arial" w:hAnsi="Arial" w:cs="Arial"/>
          <w:sz w:val="22"/>
          <w:szCs w:val="22"/>
        </w:rPr>
        <w:t xml:space="preserve">The March 2025 data shows that </w:t>
      </w:r>
      <w:r w:rsidR="007F5085" w:rsidRPr="005938BE">
        <w:rPr>
          <w:rFonts w:ascii="Arial" w:hAnsi="Arial" w:cs="Arial"/>
          <w:sz w:val="22"/>
          <w:szCs w:val="22"/>
        </w:rPr>
        <w:t>SWYPFT</w:t>
      </w:r>
      <w:r w:rsidRPr="00561F06">
        <w:rPr>
          <w:rFonts w:ascii="Arial" w:hAnsi="Arial" w:cs="Arial"/>
          <w:sz w:val="22"/>
          <w:szCs w:val="22"/>
        </w:rPr>
        <w:t xml:space="preserve"> has largely eliminated the large pay disparity that existed in 2018, with ethnic minority staff now earning slightly more on average than White staff. However, this overall result hides clear disparities for specific groups. Black staff are earning below the White benchmark, and Black employees are under-represented at higher pay levels. Conversely, Asian and Other staff earn notably above the White average, which benefits the aggregate ethnic minority figure.</w:t>
      </w:r>
    </w:p>
    <w:bookmarkEnd w:id="6"/>
    <w:p w14:paraId="260DF674" w14:textId="77777777"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These findings align partially with UK-wide observations: the only group consistently paid less than Whites is Black staff. The Trust’s Asian and Other pay profiles are higher than many UK comparators. Going forward, care must be taken to ensure that the improvement in aggregate pay equity does not obscure continuing inequities. In particular, the career progression and pay of Black and Mixed-ethnicity staff merit focused attention.</w:t>
      </w:r>
    </w:p>
    <w:p w14:paraId="00B49650" w14:textId="3011F6C0" w:rsidR="00561F06" w:rsidRPr="00561F06" w:rsidRDefault="00561F06" w:rsidP="00561F06">
      <w:pPr>
        <w:spacing w:before="100" w:beforeAutospacing="1" w:after="100" w:afterAutospacing="1" w:line="300" w:lineRule="atLeast"/>
        <w:rPr>
          <w:rFonts w:ascii="Arial" w:hAnsi="Arial" w:cs="Arial"/>
          <w:sz w:val="22"/>
          <w:szCs w:val="22"/>
        </w:rPr>
      </w:pPr>
      <w:r w:rsidRPr="00561F06">
        <w:rPr>
          <w:rFonts w:ascii="Arial" w:hAnsi="Arial" w:cs="Arial"/>
          <w:sz w:val="22"/>
          <w:szCs w:val="22"/>
        </w:rPr>
        <w:t xml:space="preserve">By the nature of NHS employment, </w:t>
      </w:r>
      <w:r w:rsidR="007F5085" w:rsidRPr="005938BE">
        <w:rPr>
          <w:rFonts w:ascii="Arial" w:hAnsi="Arial" w:cs="Arial"/>
          <w:sz w:val="22"/>
          <w:szCs w:val="22"/>
        </w:rPr>
        <w:t>SWYPFT</w:t>
      </w:r>
      <w:r w:rsidRPr="00561F06">
        <w:rPr>
          <w:rFonts w:ascii="Arial" w:hAnsi="Arial" w:cs="Arial"/>
          <w:sz w:val="22"/>
          <w:szCs w:val="22"/>
        </w:rPr>
        <w:t>’s diverse workforce (many overseas trained) reflects the national picture of an expanding, multicultural service. The Trust’s narrowing pay gap is encouraging, but it should be viewed as progress toward equity.</w:t>
      </w:r>
    </w:p>
    <w:p w14:paraId="2AF72A32" w14:textId="77777777" w:rsidR="00561F06" w:rsidRPr="00561F06" w:rsidRDefault="00561F06" w:rsidP="00561F06">
      <w:pPr>
        <w:spacing w:before="100" w:beforeAutospacing="1" w:after="100" w:afterAutospacing="1" w:line="300" w:lineRule="atLeast"/>
        <w:rPr>
          <w:rFonts w:ascii="Arial" w:hAnsi="Arial" w:cs="Arial"/>
          <w:sz w:val="22"/>
          <w:szCs w:val="22"/>
          <w:lang w:val="en-US"/>
        </w:rPr>
      </w:pPr>
      <w:r w:rsidRPr="00561F06">
        <w:rPr>
          <w:rFonts w:ascii="Arial" w:hAnsi="Arial" w:cs="Arial"/>
          <w:sz w:val="22"/>
          <w:szCs w:val="22"/>
          <w:lang w:val="en-US"/>
        </w:rPr>
        <w:t>As this is the first time the Trust has compiled an ethnicity pay gap report, the next step is to develop a targeted action plan in collaboration with our staff networks. This plan will address the identified disparities, ensuring fair career progression and pay for all ethnic groups within the Trust. By involving our diverse workforce, we aim to create strategies that genuinely reflect the experiences and insights of our staff, fostering an inclusive and equitable work environment.</w:t>
      </w:r>
    </w:p>
    <w:p w14:paraId="671A7D4E" w14:textId="77777777" w:rsidR="00561F06" w:rsidRPr="00561F06" w:rsidRDefault="00561F06" w:rsidP="00561F06">
      <w:pPr>
        <w:spacing w:before="100" w:beforeAutospacing="1" w:after="100" w:afterAutospacing="1" w:line="300" w:lineRule="atLeast"/>
        <w:rPr>
          <w:rFonts w:ascii="Arial" w:hAnsi="Arial" w:cs="Arial"/>
          <w:sz w:val="22"/>
          <w:szCs w:val="22"/>
        </w:rPr>
      </w:pPr>
    </w:p>
    <w:p w14:paraId="7AE21FAB" w14:textId="77777777" w:rsidR="00561F06" w:rsidRPr="00561F06" w:rsidRDefault="00561F06" w:rsidP="00561F06">
      <w:pPr>
        <w:spacing w:before="100" w:beforeAutospacing="1" w:after="100" w:afterAutospacing="1" w:line="300" w:lineRule="atLeast"/>
        <w:rPr>
          <w:rFonts w:ascii="Arial" w:hAnsi="Arial" w:cs="Arial"/>
          <w:sz w:val="22"/>
          <w:szCs w:val="22"/>
        </w:rPr>
      </w:pPr>
    </w:p>
    <w:p w14:paraId="53B1DE42" w14:textId="77777777" w:rsidR="005938BE" w:rsidRPr="00561F06" w:rsidRDefault="005938BE" w:rsidP="00561F06">
      <w:pPr>
        <w:spacing w:before="100" w:beforeAutospacing="1" w:after="100" w:afterAutospacing="1" w:line="300" w:lineRule="atLeast"/>
        <w:rPr>
          <w:rFonts w:ascii="Arial" w:hAnsi="Arial" w:cs="Arial"/>
          <w:sz w:val="22"/>
          <w:szCs w:val="22"/>
        </w:rPr>
      </w:pPr>
    </w:p>
    <w:p w14:paraId="4BEE2A27" w14:textId="77777777" w:rsidR="00B05F7B" w:rsidRPr="00561F06" w:rsidRDefault="00B05F7B" w:rsidP="00561F06">
      <w:pPr>
        <w:spacing w:before="100" w:beforeAutospacing="1" w:after="100" w:afterAutospacing="1" w:line="300" w:lineRule="atLeast"/>
        <w:rPr>
          <w:rFonts w:ascii="Arial" w:hAnsi="Arial" w:cs="Arial"/>
          <w:sz w:val="22"/>
          <w:szCs w:val="22"/>
        </w:rPr>
      </w:pPr>
    </w:p>
    <w:sectPr w:rsidR="00B05F7B" w:rsidRPr="00561F06" w:rsidSect="00593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1B87"/>
    <w:multiLevelType w:val="multilevel"/>
    <w:tmpl w:val="6A28F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45EEB"/>
    <w:multiLevelType w:val="multilevel"/>
    <w:tmpl w:val="3C8A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8D3F9C"/>
    <w:multiLevelType w:val="multilevel"/>
    <w:tmpl w:val="EEB88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869EA"/>
    <w:multiLevelType w:val="multilevel"/>
    <w:tmpl w:val="E84A0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97869"/>
    <w:multiLevelType w:val="multilevel"/>
    <w:tmpl w:val="30EC2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F461F"/>
    <w:multiLevelType w:val="multilevel"/>
    <w:tmpl w:val="B3D2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9778BA"/>
    <w:multiLevelType w:val="multilevel"/>
    <w:tmpl w:val="946C9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463248"/>
    <w:multiLevelType w:val="multilevel"/>
    <w:tmpl w:val="69D82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22A25"/>
    <w:multiLevelType w:val="hybridMultilevel"/>
    <w:tmpl w:val="D4A42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4820A5"/>
    <w:multiLevelType w:val="hybridMultilevel"/>
    <w:tmpl w:val="1A56A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1802872">
    <w:abstractNumId w:val="4"/>
  </w:num>
  <w:num w:numId="2" w16cid:durableId="1882936335">
    <w:abstractNumId w:val="3"/>
  </w:num>
  <w:num w:numId="3" w16cid:durableId="856314221">
    <w:abstractNumId w:val="2"/>
  </w:num>
  <w:num w:numId="4" w16cid:durableId="479083037">
    <w:abstractNumId w:val="7"/>
  </w:num>
  <w:num w:numId="5" w16cid:durableId="479932023">
    <w:abstractNumId w:val="6"/>
  </w:num>
  <w:num w:numId="6" w16cid:durableId="1821654340">
    <w:abstractNumId w:val="0"/>
  </w:num>
  <w:num w:numId="7" w16cid:durableId="12268496">
    <w:abstractNumId w:val="9"/>
  </w:num>
  <w:num w:numId="8" w16cid:durableId="1377268094">
    <w:abstractNumId w:val="1"/>
  </w:num>
  <w:num w:numId="9" w16cid:durableId="1205169618">
    <w:abstractNumId w:val="5"/>
  </w:num>
  <w:num w:numId="10" w16cid:durableId="14817275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7B"/>
    <w:rsid w:val="00001548"/>
    <w:rsid w:val="0001795F"/>
    <w:rsid w:val="000C5654"/>
    <w:rsid w:val="000F0235"/>
    <w:rsid w:val="00124F49"/>
    <w:rsid w:val="001769DA"/>
    <w:rsid w:val="001D1663"/>
    <w:rsid w:val="00207A03"/>
    <w:rsid w:val="00524C6C"/>
    <w:rsid w:val="00561F06"/>
    <w:rsid w:val="005938BE"/>
    <w:rsid w:val="00600815"/>
    <w:rsid w:val="0060534C"/>
    <w:rsid w:val="00740D40"/>
    <w:rsid w:val="00773594"/>
    <w:rsid w:val="007B6F89"/>
    <w:rsid w:val="007F5085"/>
    <w:rsid w:val="009316BC"/>
    <w:rsid w:val="00A35238"/>
    <w:rsid w:val="00A51561"/>
    <w:rsid w:val="00AD5759"/>
    <w:rsid w:val="00B05F7B"/>
    <w:rsid w:val="00B2741E"/>
    <w:rsid w:val="00B82C13"/>
    <w:rsid w:val="00C048AB"/>
    <w:rsid w:val="00C575A4"/>
    <w:rsid w:val="00D36FCB"/>
    <w:rsid w:val="00D92DE4"/>
    <w:rsid w:val="00E11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8C14D"/>
  <w15:chartTrackingRefBased/>
  <w15:docId w15:val="{DEA6C1E5-023B-49B4-AAF1-739BA8DE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F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F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F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F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F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F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F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F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F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F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F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F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F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F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F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F7B"/>
    <w:rPr>
      <w:rFonts w:eastAsiaTheme="majorEastAsia" w:cstheme="majorBidi"/>
      <w:color w:val="272727" w:themeColor="text1" w:themeTint="D8"/>
    </w:rPr>
  </w:style>
  <w:style w:type="paragraph" w:styleId="Title">
    <w:name w:val="Title"/>
    <w:basedOn w:val="Normal"/>
    <w:next w:val="Normal"/>
    <w:link w:val="TitleChar"/>
    <w:uiPriority w:val="10"/>
    <w:qFormat/>
    <w:rsid w:val="00B05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F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F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F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F7B"/>
    <w:pPr>
      <w:spacing w:before="160"/>
      <w:jc w:val="center"/>
    </w:pPr>
    <w:rPr>
      <w:i/>
      <w:iCs/>
      <w:color w:val="404040" w:themeColor="text1" w:themeTint="BF"/>
    </w:rPr>
  </w:style>
  <w:style w:type="character" w:customStyle="1" w:styleId="QuoteChar">
    <w:name w:val="Quote Char"/>
    <w:basedOn w:val="DefaultParagraphFont"/>
    <w:link w:val="Quote"/>
    <w:uiPriority w:val="29"/>
    <w:rsid w:val="00B05F7B"/>
    <w:rPr>
      <w:i/>
      <w:iCs/>
      <w:color w:val="404040" w:themeColor="text1" w:themeTint="BF"/>
    </w:rPr>
  </w:style>
  <w:style w:type="paragraph" w:styleId="ListParagraph">
    <w:name w:val="List Paragraph"/>
    <w:basedOn w:val="Normal"/>
    <w:uiPriority w:val="34"/>
    <w:qFormat/>
    <w:rsid w:val="00B05F7B"/>
    <w:pPr>
      <w:ind w:left="720"/>
      <w:contextualSpacing/>
    </w:pPr>
  </w:style>
  <w:style w:type="character" w:styleId="IntenseEmphasis">
    <w:name w:val="Intense Emphasis"/>
    <w:basedOn w:val="DefaultParagraphFont"/>
    <w:uiPriority w:val="21"/>
    <w:qFormat/>
    <w:rsid w:val="00B05F7B"/>
    <w:rPr>
      <w:i/>
      <w:iCs/>
      <w:color w:val="0F4761" w:themeColor="accent1" w:themeShade="BF"/>
    </w:rPr>
  </w:style>
  <w:style w:type="paragraph" w:styleId="IntenseQuote">
    <w:name w:val="Intense Quote"/>
    <w:basedOn w:val="Normal"/>
    <w:next w:val="Normal"/>
    <w:link w:val="IntenseQuoteChar"/>
    <w:uiPriority w:val="30"/>
    <w:qFormat/>
    <w:rsid w:val="00B05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F7B"/>
    <w:rPr>
      <w:i/>
      <w:iCs/>
      <w:color w:val="0F4761" w:themeColor="accent1" w:themeShade="BF"/>
    </w:rPr>
  </w:style>
  <w:style w:type="character" w:styleId="IntenseReference">
    <w:name w:val="Intense Reference"/>
    <w:basedOn w:val="DefaultParagraphFont"/>
    <w:uiPriority w:val="32"/>
    <w:qFormat/>
    <w:rsid w:val="00B05F7B"/>
    <w:rPr>
      <w:b/>
      <w:bCs/>
      <w:smallCaps/>
      <w:color w:val="0F4761" w:themeColor="accent1" w:themeShade="BF"/>
      <w:spacing w:val="5"/>
    </w:rPr>
  </w:style>
  <w:style w:type="paragraph" w:styleId="NormalWeb">
    <w:name w:val="Normal (Web)"/>
    <w:basedOn w:val="Normal"/>
    <w:uiPriority w:val="99"/>
    <w:unhideWhenUsed/>
    <w:rsid w:val="00C048A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773594"/>
    <w:pPr>
      <w:spacing w:after="0" w:line="240" w:lineRule="auto"/>
    </w:pPr>
  </w:style>
  <w:style w:type="character" w:styleId="CommentReference">
    <w:name w:val="annotation reference"/>
    <w:basedOn w:val="DefaultParagraphFont"/>
    <w:uiPriority w:val="99"/>
    <w:semiHidden/>
    <w:unhideWhenUsed/>
    <w:rsid w:val="00773594"/>
    <w:rPr>
      <w:sz w:val="16"/>
      <w:szCs w:val="16"/>
    </w:rPr>
  </w:style>
  <w:style w:type="paragraph" w:styleId="CommentText">
    <w:name w:val="annotation text"/>
    <w:basedOn w:val="Normal"/>
    <w:link w:val="CommentTextChar"/>
    <w:uiPriority w:val="99"/>
    <w:unhideWhenUsed/>
    <w:rsid w:val="00773594"/>
    <w:pPr>
      <w:spacing w:line="240" w:lineRule="auto"/>
    </w:pPr>
    <w:rPr>
      <w:sz w:val="20"/>
      <w:szCs w:val="20"/>
    </w:rPr>
  </w:style>
  <w:style w:type="character" w:customStyle="1" w:styleId="CommentTextChar">
    <w:name w:val="Comment Text Char"/>
    <w:basedOn w:val="DefaultParagraphFont"/>
    <w:link w:val="CommentText"/>
    <w:uiPriority w:val="99"/>
    <w:rsid w:val="00773594"/>
    <w:rPr>
      <w:sz w:val="20"/>
      <w:szCs w:val="20"/>
    </w:rPr>
  </w:style>
  <w:style w:type="paragraph" w:styleId="CommentSubject">
    <w:name w:val="annotation subject"/>
    <w:basedOn w:val="CommentText"/>
    <w:next w:val="CommentText"/>
    <w:link w:val="CommentSubjectChar"/>
    <w:uiPriority w:val="99"/>
    <w:semiHidden/>
    <w:unhideWhenUsed/>
    <w:rsid w:val="00773594"/>
    <w:rPr>
      <w:b/>
      <w:bCs/>
    </w:rPr>
  </w:style>
  <w:style w:type="character" w:customStyle="1" w:styleId="CommentSubjectChar">
    <w:name w:val="Comment Subject Char"/>
    <w:basedOn w:val="CommentTextChar"/>
    <w:link w:val="CommentSubject"/>
    <w:uiPriority w:val="99"/>
    <w:semiHidden/>
    <w:rsid w:val="00773594"/>
    <w:rPr>
      <w:b/>
      <w:bCs/>
      <w:sz w:val="20"/>
      <w:szCs w:val="20"/>
    </w:rPr>
  </w:style>
  <w:style w:type="paragraph" w:customStyle="1" w:styleId="pf0">
    <w:name w:val="pf0"/>
    <w:basedOn w:val="Normal"/>
    <w:rsid w:val="00A5156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A5156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103597">
      <w:bodyDiv w:val="1"/>
      <w:marLeft w:val="0"/>
      <w:marRight w:val="0"/>
      <w:marTop w:val="0"/>
      <w:marBottom w:val="0"/>
      <w:divBdr>
        <w:top w:val="none" w:sz="0" w:space="0" w:color="auto"/>
        <w:left w:val="none" w:sz="0" w:space="0" w:color="auto"/>
        <w:bottom w:val="none" w:sz="0" w:space="0" w:color="auto"/>
        <w:right w:val="none" w:sz="0" w:space="0" w:color="auto"/>
      </w:divBdr>
      <w:divsChild>
        <w:div w:id="1446969504">
          <w:marLeft w:val="0"/>
          <w:marRight w:val="0"/>
          <w:marTop w:val="0"/>
          <w:marBottom w:val="0"/>
          <w:divBdr>
            <w:top w:val="none" w:sz="0" w:space="0" w:color="auto"/>
            <w:left w:val="none" w:sz="0" w:space="0" w:color="auto"/>
            <w:bottom w:val="none" w:sz="0" w:space="0" w:color="auto"/>
            <w:right w:val="none" w:sz="0" w:space="0" w:color="auto"/>
          </w:divBdr>
        </w:div>
      </w:divsChild>
    </w:div>
    <w:div w:id="413936735">
      <w:bodyDiv w:val="1"/>
      <w:marLeft w:val="0"/>
      <w:marRight w:val="0"/>
      <w:marTop w:val="0"/>
      <w:marBottom w:val="0"/>
      <w:divBdr>
        <w:top w:val="none" w:sz="0" w:space="0" w:color="auto"/>
        <w:left w:val="none" w:sz="0" w:space="0" w:color="auto"/>
        <w:bottom w:val="none" w:sz="0" w:space="0" w:color="auto"/>
        <w:right w:val="none" w:sz="0" w:space="0" w:color="auto"/>
      </w:divBdr>
      <w:divsChild>
        <w:div w:id="1487015611">
          <w:marLeft w:val="0"/>
          <w:marRight w:val="0"/>
          <w:marTop w:val="0"/>
          <w:marBottom w:val="0"/>
          <w:divBdr>
            <w:top w:val="none" w:sz="0" w:space="0" w:color="auto"/>
            <w:left w:val="none" w:sz="0" w:space="0" w:color="auto"/>
            <w:bottom w:val="none" w:sz="0" w:space="0" w:color="auto"/>
            <w:right w:val="none" w:sz="0" w:space="0" w:color="auto"/>
          </w:divBdr>
        </w:div>
      </w:divsChild>
    </w:div>
    <w:div w:id="418452786">
      <w:bodyDiv w:val="1"/>
      <w:marLeft w:val="0"/>
      <w:marRight w:val="0"/>
      <w:marTop w:val="0"/>
      <w:marBottom w:val="0"/>
      <w:divBdr>
        <w:top w:val="none" w:sz="0" w:space="0" w:color="auto"/>
        <w:left w:val="none" w:sz="0" w:space="0" w:color="auto"/>
        <w:bottom w:val="none" w:sz="0" w:space="0" w:color="auto"/>
        <w:right w:val="none" w:sz="0" w:space="0" w:color="auto"/>
      </w:divBdr>
    </w:div>
    <w:div w:id="693001369">
      <w:bodyDiv w:val="1"/>
      <w:marLeft w:val="0"/>
      <w:marRight w:val="0"/>
      <w:marTop w:val="0"/>
      <w:marBottom w:val="0"/>
      <w:divBdr>
        <w:top w:val="none" w:sz="0" w:space="0" w:color="auto"/>
        <w:left w:val="none" w:sz="0" w:space="0" w:color="auto"/>
        <w:bottom w:val="none" w:sz="0" w:space="0" w:color="auto"/>
        <w:right w:val="none" w:sz="0" w:space="0" w:color="auto"/>
      </w:divBdr>
    </w:div>
    <w:div w:id="1181092602">
      <w:bodyDiv w:val="1"/>
      <w:marLeft w:val="0"/>
      <w:marRight w:val="0"/>
      <w:marTop w:val="0"/>
      <w:marBottom w:val="0"/>
      <w:divBdr>
        <w:top w:val="none" w:sz="0" w:space="0" w:color="auto"/>
        <w:left w:val="none" w:sz="0" w:space="0" w:color="auto"/>
        <w:bottom w:val="none" w:sz="0" w:space="0" w:color="auto"/>
        <w:right w:val="none" w:sz="0" w:space="0" w:color="auto"/>
      </w:divBdr>
      <w:divsChild>
        <w:div w:id="152450737">
          <w:marLeft w:val="0"/>
          <w:marRight w:val="0"/>
          <w:marTop w:val="0"/>
          <w:marBottom w:val="0"/>
          <w:divBdr>
            <w:top w:val="none" w:sz="0" w:space="0" w:color="auto"/>
            <w:left w:val="none" w:sz="0" w:space="0" w:color="auto"/>
            <w:bottom w:val="none" w:sz="0" w:space="0" w:color="auto"/>
            <w:right w:val="none" w:sz="0" w:space="0" w:color="auto"/>
          </w:divBdr>
        </w:div>
      </w:divsChild>
    </w:div>
    <w:div w:id="1383093895">
      <w:bodyDiv w:val="1"/>
      <w:marLeft w:val="0"/>
      <w:marRight w:val="0"/>
      <w:marTop w:val="0"/>
      <w:marBottom w:val="0"/>
      <w:divBdr>
        <w:top w:val="none" w:sz="0" w:space="0" w:color="auto"/>
        <w:left w:val="none" w:sz="0" w:space="0" w:color="auto"/>
        <w:bottom w:val="none" w:sz="0" w:space="0" w:color="auto"/>
        <w:right w:val="none" w:sz="0" w:space="0" w:color="auto"/>
      </w:divBdr>
      <w:divsChild>
        <w:div w:id="74088185">
          <w:marLeft w:val="0"/>
          <w:marRight w:val="0"/>
          <w:marTop w:val="0"/>
          <w:marBottom w:val="0"/>
          <w:divBdr>
            <w:top w:val="none" w:sz="0" w:space="0" w:color="auto"/>
            <w:left w:val="none" w:sz="0" w:space="0" w:color="auto"/>
            <w:bottom w:val="none" w:sz="0" w:space="0" w:color="auto"/>
            <w:right w:val="none" w:sz="0" w:space="0" w:color="auto"/>
          </w:divBdr>
        </w:div>
      </w:divsChild>
    </w:div>
    <w:div w:id="1559199233">
      <w:bodyDiv w:val="1"/>
      <w:marLeft w:val="0"/>
      <w:marRight w:val="0"/>
      <w:marTop w:val="0"/>
      <w:marBottom w:val="0"/>
      <w:divBdr>
        <w:top w:val="none" w:sz="0" w:space="0" w:color="auto"/>
        <w:left w:val="none" w:sz="0" w:space="0" w:color="auto"/>
        <w:bottom w:val="none" w:sz="0" w:space="0" w:color="auto"/>
        <w:right w:val="none" w:sz="0" w:space="0" w:color="auto"/>
      </w:divBdr>
      <w:divsChild>
        <w:div w:id="382683757">
          <w:marLeft w:val="0"/>
          <w:marRight w:val="0"/>
          <w:marTop w:val="0"/>
          <w:marBottom w:val="0"/>
          <w:divBdr>
            <w:top w:val="none" w:sz="0" w:space="0" w:color="auto"/>
            <w:left w:val="none" w:sz="0" w:space="0" w:color="auto"/>
            <w:bottom w:val="none" w:sz="0" w:space="0" w:color="auto"/>
            <w:right w:val="none" w:sz="0" w:space="0" w:color="auto"/>
          </w:divBdr>
        </w:div>
      </w:divsChild>
    </w:div>
    <w:div w:id="1927880098">
      <w:bodyDiv w:val="1"/>
      <w:marLeft w:val="0"/>
      <w:marRight w:val="0"/>
      <w:marTop w:val="0"/>
      <w:marBottom w:val="0"/>
      <w:divBdr>
        <w:top w:val="none" w:sz="0" w:space="0" w:color="auto"/>
        <w:left w:val="none" w:sz="0" w:space="0" w:color="auto"/>
        <w:bottom w:val="none" w:sz="0" w:space="0" w:color="auto"/>
        <w:right w:val="none" w:sz="0" w:space="0" w:color="auto"/>
      </w:divBdr>
      <w:divsChild>
        <w:div w:id="1296182431">
          <w:marLeft w:val="0"/>
          <w:marRight w:val="0"/>
          <w:marTop w:val="0"/>
          <w:marBottom w:val="0"/>
          <w:divBdr>
            <w:top w:val="none" w:sz="0" w:space="0" w:color="auto"/>
            <w:left w:val="none" w:sz="0" w:space="0" w:color="auto"/>
            <w:bottom w:val="none" w:sz="0" w:space="0" w:color="auto"/>
            <w:right w:val="none" w:sz="0" w:space="0" w:color="auto"/>
          </w:divBdr>
        </w:div>
      </w:divsChild>
    </w:div>
    <w:div w:id="1942029161">
      <w:bodyDiv w:val="1"/>
      <w:marLeft w:val="0"/>
      <w:marRight w:val="0"/>
      <w:marTop w:val="0"/>
      <w:marBottom w:val="0"/>
      <w:divBdr>
        <w:top w:val="none" w:sz="0" w:space="0" w:color="auto"/>
        <w:left w:val="none" w:sz="0" w:space="0" w:color="auto"/>
        <w:bottom w:val="none" w:sz="0" w:space="0" w:color="auto"/>
        <w:right w:val="none" w:sz="0" w:space="0" w:color="auto"/>
      </w:divBdr>
    </w:div>
    <w:div w:id="2082605251">
      <w:bodyDiv w:val="1"/>
      <w:marLeft w:val="0"/>
      <w:marRight w:val="0"/>
      <w:marTop w:val="0"/>
      <w:marBottom w:val="0"/>
      <w:divBdr>
        <w:top w:val="none" w:sz="0" w:space="0" w:color="auto"/>
        <w:left w:val="none" w:sz="0" w:space="0" w:color="auto"/>
        <w:bottom w:val="none" w:sz="0" w:space="0" w:color="auto"/>
        <w:right w:val="none" w:sz="0" w:space="0" w:color="auto"/>
      </w:divBdr>
      <w:divsChild>
        <w:div w:id="1791049659">
          <w:marLeft w:val="0"/>
          <w:marRight w:val="0"/>
          <w:marTop w:val="0"/>
          <w:marBottom w:val="0"/>
          <w:divBdr>
            <w:top w:val="none" w:sz="0" w:space="0" w:color="auto"/>
            <w:left w:val="none" w:sz="0" w:space="0" w:color="auto"/>
            <w:bottom w:val="none" w:sz="0" w:space="0" w:color="auto"/>
            <w:right w:val="none" w:sz="0" w:space="0" w:color="auto"/>
          </w:divBdr>
        </w:div>
      </w:divsChild>
    </w:div>
    <w:div w:id="209265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35ef17fd-f0f8-4c24-996d-0862c1bc672f@GBRP123.PROD.OUTLOOK.COM" TargetMode="Externa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image" Target="cid:a64387dd-543c-41fa-bc42-1f52238bd3d4@GBRP123.PROD.OUTLOOK.COM"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chart" Target="charts/chart3.xml"/><Relationship Id="rId10" Type="http://schemas.openxmlformats.org/officeDocument/2006/relationships/image" Target="cid:ab14d444-6b9b-4b20-b2da-33f336603b00@GBRP123.PROD.OUTLOOK.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Julie.Comb\AppData\Local\Microsoft\Windows\INetCache\Content.Outlook\Q96IOWBB\Ethnicity%20by%20Yea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GB" sz="1200"/>
              <a:t>Average Hourly Pay by Ethnicity</a:t>
            </a:r>
          </a:p>
        </c:rich>
      </c:tx>
      <c:layout>
        <c:manualLayout>
          <c:xMode val="edge"/>
          <c:yMode val="edge"/>
          <c:x val="0.3221857765231152"/>
          <c:y val="1.6877637130801686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0.11124956275363113"/>
          <c:y val="7.4486932342444231E-2"/>
          <c:w val="0.80927208547135554"/>
          <c:h val="0.82028389710787974"/>
        </c:manualLayout>
      </c:layout>
      <c:barChart>
        <c:barDir val="col"/>
        <c:grouping val="clustered"/>
        <c:varyColors val="0"/>
        <c:ser>
          <c:idx val="1"/>
          <c:order val="0"/>
          <c:tx>
            <c:strRef>
              <c:f>'March 2025 Data'!$A$6</c:f>
              <c:strCache>
                <c:ptCount val="1"/>
                <c:pt idx="0">
                  <c:v>White</c:v>
                </c:pt>
              </c:strCache>
            </c:strRef>
          </c:tx>
          <c:spPr>
            <a:solidFill>
              <a:schemeClr val="tx2">
                <a:lumMod val="75000"/>
                <a:lumOff val="25000"/>
              </a:schemeClr>
            </a:solidFill>
            <a:ln>
              <a:noFill/>
            </a:ln>
            <a:effectLst/>
          </c:spPr>
          <c:invertIfNegative val="0"/>
          <c:dLbls>
            <c:delete val="1"/>
          </c:dLbls>
          <c:cat>
            <c:strRef>
              <c:f>'March 2025 Data'!$B$4:$C$4</c:f>
              <c:strCache>
                <c:ptCount val="2"/>
                <c:pt idx="0">
                  <c:v>Mean Hourly Rate</c:v>
                </c:pt>
                <c:pt idx="1">
                  <c:v>Median Hourly Rate</c:v>
                </c:pt>
              </c:strCache>
            </c:strRef>
          </c:cat>
          <c:val>
            <c:numRef>
              <c:f>'March 2025 Data'!$B$6:$C$6</c:f>
              <c:numCache>
                <c:formatCode>"£"#,##0.00</c:formatCode>
                <c:ptCount val="2"/>
                <c:pt idx="0">
                  <c:v>19.916</c:v>
                </c:pt>
                <c:pt idx="1">
                  <c:v>18.657599999999999</c:v>
                </c:pt>
              </c:numCache>
            </c:numRef>
          </c:val>
          <c:extLst>
            <c:ext xmlns:c16="http://schemas.microsoft.com/office/drawing/2014/chart" uri="{C3380CC4-5D6E-409C-BE32-E72D297353CC}">
              <c16:uniqueId val="{00000000-9B83-4107-A57E-A90B49C706A7}"/>
            </c:ext>
          </c:extLst>
        </c:ser>
        <c:ser>
          <c:idx val="0"/>
          <c:order val="1"/>
          <c:tx>
            <c:strRef>
              <c:f>'March 2025 Data'!$A$5</c:f>
              <c:strCache>
                <c:ptCount val="1"/>
                <c:pt idx="0">
                  <c:v>Minority Ethnic</c:v>
                </c:pt>
              </c:strCache>
            </c:strRef>
          </c:tx>
          <c:spPr>
            <a:solidFill>
              <a:schemeClr val="accent6"/>
            </a:solidFill>
            <a:ln>
              <a:noFill/>
            </a:ln>
            <a:effectLst/>
          </c:spPr>
          <c:invertIfNegative val="0"/>
          <c:dLbls>
            <c:delete val="1"/>
          </c:dLbls>
          <c:cat>
            <c:strRef>
              <c:f>'March 2025 Data'!$B$4:$C$4</c:f>
              <c:strCache>
                <c:ptCount val="2"/>
                <c:pt idx="0">
                  <c:v>Mean Hourly Rate</c:v>
                </c:pt>
                <c:pt idx="1">
                  <c:v>Median Hourly Rate</c:v>
                </c:pt>
              </c:strCache>
            </c:strRef>
          </c:cat>
          <c:val>
            <c:numRef>
              <c:f>'March 2025 Data'!$B$5:$C$5</c:f>
              <c:numCache>
                <c:formatCode>"£"#,##0.00</c:formatCode>
                <c:ptCount val="2"/>
                <c:pt idx="0">
                  <c:v>21.876000000000001</c:v>
                </c:pt>
                <c:pt idx="1">
                  <c:v>18.979500000000002</c:v>
                </c:pt>
              </c:numCache>
            </c:numRef>
          </c:val>
          <c:extLst>
            <c:ext xmlns:c16="http://schemas.microsoft.com/office/drawing/2014/chart" uri="{C3380CC4-5D6E-409C-BE32-E72D297353CC}">
              <c16:uniqueId val="{00000001-9B83-4107-A57E-A90B49C706A7}"/>
            </c:ext>
          </c:extLst>
        </c:ser>
        <c:dLbls>
          <c:dLblPos val="outEnd"/>
          <c:showLegendKey val="0"/>
          <c:showVal val="1"/>
          <c:showCatName val="0"/>
          <c:showSerName val="0"/>
          <c:showPercent val="0"/>
          <c:showBubbleSize val="0"/>
        </c:dLbls>
        <c:gapWidth val="93"/>
        <c:axId val="707984544"/>
        <c:axId val="707977824"/>
      </c:barChart>
      <c:catAx>
        <c:axId val="70798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07977824"/>
        <c:crosses val="autoZero"/>
        <c:auto val="1"/>
        <c:lblAlgn val="ctr"/>
        <c:lblOffset val="100"/>
        <c:noMultiLvlLbl val="0"/>
      </c:catAx>
      <c:valAx>
        <c:axId val="70797782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a:t>Hourly Pay (£)</a:t>
                </a:r>
              </a:p>
            </c:rich>
          </c:tx>
          <c:layout>
            <c:manualLayout>
              <c:xMode val="edge"/>
              <c:yMode val="edge"/>
              <c:x val="6.3711911357340723E-2"/>
              <c:y val="0.2128012291146533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7079845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400" b="0" i="0" u="none" strike="noStrike" kern="1200" spc="0" baseline="0">
                <a:solidFill>
                  <a:schemeClr val="tx1">
                    <a:lumMod val="65000"/>
                    <a:lumOff val="35000"/>
                  </a:schemeClr>
                </a:solidFill>
                <a:latin typeface="+mn-lt"/>
                <a:ea typeface="+mn-ea"/>
                <a:cs typeface="+mn-cs"/>
              </a:defRPr>
            </a:pPr>
            <a:r>
              <a:rPr lang="en-GB" sz="1200"/>
              <a:t>Mean and Median Hourly Rate by Ethnic Group</a:t>
            </a:r>
          </a:p>
        </c:rich>
      </c:tx>
      <c:layout>
        <c:manualLayout>
          <c:xMode val="edge"/>
          <c:yMode val="edge"/>
          <c:x val="2.104167358827303E-5"/>
          <c:y val="4.5454545454545452E-3"/>
        </c:manualLayout>
      </c:layout>
      <c:overlay val="0"/>
      <c:spPr>
        <a:noFill/>
        <a:ln>
          <a:noFill/>
        </a:ln>
        <a:effectLst/>
      </c:spPr>
      <c:txPr>
        <a:bodyPr rot="0" spcFirstLastPara="1" vertOverflow="ellipsis" vert="horz" wrap="square" anchor="ctr" anchorCtr="1"/>
        <a:lstStyle/>
        <a:p>
          <a:pPr>
            <a:defRPr sz="2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'March 2025 Data'!$B$26</c:f>
              <c:strCache>
                <c:ptCount val="1"/>
                <c:pt idx="0">
                  <c:v>Mean Hourly Rate</c:v>
                </c:pt>
              </c:strCache>
            </c:strRef>
          </c:tx>
          <c:spPr>
            <a:solidFill>
              <a:schemeClr val="accent1"/>
            </a:solidFill>
            <a:ln>
              <a:noFill/>
            </a:ln>
            <a:effectLst/>
          </c:spPr>
          <c:invertIfNegative val="0"/>
          <c:cat>
            <c:strRef>
              <c:f>'March 2025 Data'!$A$27:$A$35</c:f>
              <c:strCache>
                <c:ptCount val="9"/>
                <c:pt idx="0">
                  <c:v>Minority Ethnic</c:v>
                </c:pt>
                <c:pt idx="1">
                  <c:v>White</c:v>
                </c:pt>
                <c:pt idx="3">
                  <c:v>Asian</c:v>
                </c:pt>
                <c:pt idx="4">
                  <c:v>Black</c:v>
                </c:pt>
                <c:pt idx="5">
                  <c:v>Mixed</c:v>
                </c:pt>
                <c:pt idx="6">
                  <c:v>Other</c:v>
                </c:pt>
                <c:pt idx="7">
                  <c:v>White British</c:v>
                </c:pt>
                <c:pt idx="8">
                  <c:v>White Other</c:v>
                </c:pt>
              </c:strCache>
            </c:strRef>
          </c:cat>
          <c:val>
            <c:numRef>
              <c:f>'March 2025 Data'!$B$27:$B$35</c:f>
              <c:numCache>
                <c:formatCode>"£"#,##0.00</c:formatCode>
                <c:ptCount val="9"/>
                <c:pt idx="0">
                  <c:v>21.876000000000001</c:v>
                </c:pt>
                <c:pt idx="1">
                  <c:v>19.916</c:v>
                </c:pt>
                <c:pt idx="3">
                  <c:v>27.407399999999999</c:v>
                </c:pt>
                <c:pt idx="4">
                  <c:v>18.760899999999999</c:v>
                </c:pt>
                <c:pt idx="5">
                  <c:v>20.960899999999999</c:v>
                </c:pt>
                <c:pt idx="6">
                  <c:v>28.225899999999999</c:v>
                </c:pt>
                <c:pt idx="7">
                  <c:v>19.8492</c:v>
                </c:pt>
                <c:pt idx="8">
                  <c:v>22.051200000000001</c:v>
                </c:pt>
              </c:numCache>
            </c:numRef>
          </c:val>
          <c:extLst>
            <c:ext xmlns:c16="http://schemas.microsoft.com/office/drawing/2014/chart" uri="{C3380CC4-5D6E-409C-BE32-E72D297353CC}">
              <c16:uniqueId val="{00000000-7845-4762-94C0-330360D4E949}"/>
            </c:ext>
          </c:extLst>
        </c:ser>
        <c:ser>
          <c:idx val="1"/>
          <c:order val="1"/>
          <c:tx>
            <c:strRef>
              <c:f>'March 2025 Data'!$C$26</c:f>
              <c:strCache>
                <c:ptCount val="1"/>
                <c:pt idx="0">
                  <c:v>Median Hourly Rate</c:v>
                </c:pt>
              </c:strCache>
            </c:strRef>
          </c:tx>
          <c:spPr>
            <a:solidFill>
              <a:schemeClr val="accent2"/>
            </a:solidFill>
            <a:ln>
              <a:noFill/>
            </a:ln>
            <a:effectLst/>
          </c:spPr>
          <c:invertIfNegative val="0"/>
          <c:cat>
            <c:strRef>
              <c:f>'March 2025 Data'!$A$27:$A$35</c:f>
              <c:strCache>
                <c:ptCount val="9"/>
                <c:pt idx="0">
                  <c:v>Minority Ethnic</c:v>
                </c:pt>
                <c:pt idx="1">
                  <c:v>White</c:v>
                </c:pt>
                <c:pt idx="3">
                  <c:v>Asian</c:v>
                </c:pt>
                <c:pt idx="4">
                  <c:v>Black</c:v>
                </c:pt>
                <c:pt idx="5">
                  <c:v>Mixed</c:v>
                </c:pt>
                <c:pt idx="6">
                  <c:v>Other</c:v>
                </c:pt>
                <c:pt idx="7">
                  <c:v>White British</c:v>
                </c:pt>
                <c:pt idx="8">
                  <c:v>White Other</c:v>
                </c:pt>
              </c:strCache>
            </c:strRef>
          </c:cat>
          <c:val>
            <c:numRef>
              <c:f>'March 2025 Data'!$C$27:$C$35</c:f>
              <c:numCache>
                <c:formatCode>"£"#,##0.00</c:formatCode>
                <c:ptCount val="9"/>
                <c:pt idx="0">
                  <c:v>18.979500000000002</c:v>
                </c:pt>
                <c:pt idx="1">
                  <c:v>18.657599999999999</c:v>
                </c:pt>
                <c:pt idx="3">
                  <c:v>19.9223</c:v>
                </c:pt>
                <c:pt idx="4">
                  <c:v>18.512599999999999</c:v>
                </c:pt>
                <c:pt idx="5">
                  <c:v>19.094799999999999</c:v>
                </c:pt>
                <c:pt idx="6">
                  <c:v>20.151900000000001</c:v>
                </c:pt>
                <c:pt idx="7">
                  <c:v>18.657599999999999</c:v>
                </c:pt>
                <c:pt idx="8">
                  <c:v>18.657599999999999</c:v>
                </c:pt>
              </c:numCache>
            </c:numRef>
          </c:val>
          <c:extLst>
            <c:ext xmlns:c16="http://schemas.microsoft.com/office/drawing/2014/chart" uri="{C3380CC4-5D6E-409C-BE32-E72D297353CC}">
              <c16:uniqueId val="{00000001-7845-4762-94C0-330360D4E949}"/>
            </c:ext>
          </c:extLst>
        </c:ser>
        <c:dLbls>
          <c:showLegendKey val="0"/>
          <c:showVal val="0"/>
          <c:showCatName val="0"/>
          <c:showSerName val="0"/>
          <c:showPercent val="0"/>
          <c:showBubbleSize val="0"/>
        </c:dLbls>
        <c:gapWidth val="30"/>
        <c:axId val="771805760"/>
        <c:axId val="994102512"/>
      </c:barChart>
      <c:catAx>
        <c:axId val="77180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94102512"/>
        <c:crosses val="autoZero"/>
        <c:auto val="1"/>
        <c:lblAlgn val="ctr"/>
        <c:lblOffset val="100"/>
        <c:noMultiLvlLbl val="0"/>
      </c:catAx>
      <c:valAx>
        <c:axId val="994102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GB" sz="1100"/>
                  <a:t>Hourly</a:t>
                </a:r>
                <a:r>
                  <a:rPr lang="en-GB" sz="1100" baseline="0"/>
                  <a:t> Rate (£)</a:t>
                </a:r>
                <a:endParaRPr lang="en-GB" sz="1100"/>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GB"/>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771805760"/>
        <c:crosses val="autoZero"/>
        <c:crossBetween val="between"/>
      </c:valAx>
      <c:spPr>
        <a:noFill/>
        <a:ln>
          <a:noFill/>
        </a:ln>
        <a:effectLst/>
      </c:spPr>
    </c:plotArea>
    <c:legend>
      <c:legendPos val="tr"/>
      <c:layout>
        <c:manualLayout>
          <c:xMode val="edge"/>
          <c:yMode val="edge"/>
          <c:x val="0.78216020465796199"/>
          <c:y val="8.5986650145889153E-3"/>
          <c:w val="0.21783979534203793"/>
          <c:h val="0.22272834645669293"/>
        </c:manualLayout>
      </c:layout>
      <c:overlay val="1"/>
      <c:spPr>
        <a:solidFill>
          <a:schemeClr val="bg1"/>
        </a:solidFill>
        <a:ln>
          <a:solidFill>
            <a:schemeClr val="accent1"/>
          </a:solid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300" b="0" i="0" u="none" strike="noStrike" kern="1200" spc="0" baseline="0">
                <a:solidFill>
                  <a:schemeClr val="tx1">
                    <a:lumMod val="65000"/>
                    <a:lumOff val="35000"/>
                  </a:schemeClr>
                </a:solidFill>
                <a:latin typeface="+mn-lt"/>
                <a:ea typeface="+mn-ea"/>
                <a:cs typeface="+mn-cs"/>
              </a:defRPr>
            </a:pPr>
            <a:r>
              <a:rPr lang="en-GB" sz="1100"/>
              <a:t>Ethnicity</a:t>
            </a:r>
            <a:r>
              <a:rPr lang="en-GB" sz="1100" baseline="0"/>
              <a:t> Pay Gap (White v Minority Ethnic) at SWYPFT 2018 - 2025</a:t>
            </a:r>
            <a:endParaRPr lang="en-GB" sz="1100"/>
          </a:p>
        </c:rich>
      </c:tx>
      <c:overlay val="0"/>
      <c:spPr>
        <a:noFill/>
        <a:ln>
          <a:noFill/>
        </a:ln>
        <a:effectLst/>
      </c:spPr>
      <c:txPr>
        <a:bodyPr rot="0" spcFirstLastPara="1" vertOverflow="ellipsis" vert="horz" wrap="square" anchor="ctr" anchorCtr="1"/>
        <a:lstStyle/>
        <a:p>
          <a:pPr>
            <a:defRPr sz="23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2"/>
          <c:order val="0"/>
          <c:tx>
            <c:strRef>
              <c:f>'Ethnicity pay gap by year'!$C$4</c:f>
              <c:strCache>
                <c:ptCount val="1"/>
                <c:pt idx="0">
                  <c:v>Mean Hourly Rate Difference</c:v>
                </c:pt>
              </c:strCache>
            </c:strRef>
          </c:tx>
          <c:spPr>
            <a:ln w="50800" cap="rnd">
              <a:solidFill>
                <a:schemeClr val="accent3"/>
              </a:solidFill>
              <a:round/>
            </a:ln>
            <a:effectLst/>
          </c:spPr>
          <c:marker>
            <c:symbol val="circle"/>
            <c:size val="5"/>
            <c:spPr>
              <a:solidFill>
                <a:schemeClr val="accent3"/>
              </a:solidFill>
              <a:ln w="38100">
                <a:solidFill>
                  <a:schemeClr val="accent3"/>
                </a:solidFill>
              </a:ln>
              <a:effectLst/>
            </c:spPr>
          </c:marker>
          <c:cat>
            <c:strRef>
              <c:f>'Ethnicity pay gap by year'!$B$5:$B$12</c:f>
              <c:strCache>
                <c:ptCount val="8"/>
                <c:pt idx="0">
                  <c:v>2018</c:v>
                </c:pt>
                <c:pt idx="1">
                  <c:v>2019</c:v>
                </c:pt>
                <c:pt idx="2">
                  <c:v>2020</c:v>
                </c:pt>
                <c:pt idx="3">
                  <c:v>2021</c:v>
                </c:pt>
                <c:pt idx="4">
                  <c:v>2022</c:v>
                </c:pt>
                <c:pt idx="5">
                  <c:v>2023</c:v>
                </c:pt>
                <c:pt idx="6">
                  <c:v>2024</c:v>
                </c:pt>
                <c:pt idx="7">
                  <c:v>2025</c:v>
                </c:pt>
              </c:strCache>
            </c:strRef>
          </c:cat>
          <c:val>
            <c:numRef>
              <c:f>'Ethnicity pay gap by year'!$C$5:$C$12</c:f>
              <c:numCache>
                <c:formatCode>0.0%</c:formatCode>
                <c:ptCount val="8"/>
                <c:pt idx="0">
                  <c:v>-0.35167819598574601</c:v>
                </c:pt>
                <c:pt idx="1">
                  <c:v>-0.35167819598574601</c:v>
                </c:pt>
                <c:pt idx="2">
                  <c:v>-0.23854127344112</c:v>
                </c:pt>
                <c:pt idx="3">
                  <c:v>-0.22183451044681501</c:v>
                </c:pt>
                <c:pt idx="4">
                  <c:v>-0.23815026507645298</c:v>
                </c:pt>
                <c:pt idx="5">
                  <c:v>-0.146100535718824</c:v>
                </c:pt>
                <c:pt idx="6">
                  <c:v>-9.1309245989836293E-2</c:v>
                </c:pt>
                <c:pt idx="7">
                  <c:v>-9.8411045466805402E-2</c:v>
                </c:pt>
              </c:numCache>
            </c:numRef>
          </c:val>
          <c:smooth val="0"/>
          <c:extLst>
            <c:ext xmlns:c16="http://schemas.microsoft.com/office/drawing/2014/chart" uri="{C3380CC4-5D6E-409C-BE32-E72D297353CC}">
              <c16:uniqueId val="{00000000-0579-4698-824E-469DF4783128}"/>
            </c:ext>
          </c:extLst>
        </c:ser>
        <c:ser>
          <c:idx val="0"/>
          <c:order val="1"/>
          <c:tx>
            <c:strRef>
              <c:f>'Ethnicity pay gap by year'!$D$4</c:f>
              <c:strCache>
                <c:ptCount val="1"/>
                <c:pt idx="0">
                  <c:v>Median Hourly Rate Difference</c:v>
                </c:pt>
              </c:strCache>
            </c:strRef>
          </c:tx>
          <c:spPr>
            <a:ln w="50800" cap="rnd">
              <a:solidFill>
                <a:schemeClr val="accent1"/>
              </a:solidFill>
              <a:round/>
            </a:ln>
            <a:effectLst/>
          </c:spPr>
          <c:marker>
            <c:symbol val="circle"/>
            <c:size val="5"/>
            <c:spPr>
              <a:solidFill>
                <a:sysClr val="windowText" lastClr="000000">
                  <a:lumMod val="65000"/>
                  <a:lumOff val="35000"/>
                </a:sysClr>
              </a:solidFill>
              <a:ln w="38100" cap="rnd">
                <a:solidFill>
                  <a:schemeClr val="accent1"/>
                </a:solidFill>
              </a:ln>
              <a:effectLst/>
            </c:spPr>
          </c:marker>
          <c:cat>
            <c:strRef>
              <c:f>'Ethnicity pay gap by year'!$B$5:$B$12</c:f>
              <c:strCache>
                <c:ptCount val="8"/>
                <c:pt idx="0">
                  <c:v>2018</c:v>
                </c:pt>
                <c:pt idx="1">
                  <c:v>2019</c:v>
                </c:pt>
                <c:pt idx="2">
                  <c:v>2020</c:v>
                </c:pt>
                <c:pt idx="3">
                  <c:v>2021</c:v>
                </c:pt>
                <c:pt idx="4">
                  <c:v>2022</c:v>
                </c:pt>
                <c:pt idx="5">
                  <c:v>2023</c:v>
                </c:pt>
                <c:pt idx="6">
                  <c:v>2024</c:v>
                </c:pt>
                <c:pt idx="7">
                  <c:v>2025</c:v>
                </c:pt>
              </c:strCache>
            </c:strRef>
          </c:cat>
          <c:val>
            <c:numRef>
              <c:f>'Ethnicity pay gap by year'!$D$5:$D$12</c:f>
              <c:numCache>
                <c:formatCode>0.0%</c:formatCode>
                <c:ptCount val="8"/>
                <c:pt idx="0">
                  <c:v>-0.113485718657146</c:v>
                </c:pt>
                <c:pt idx="1">
                  <c:v>-0.113485718657146</c:v>
                </c:pt>
                <c:pt idx="2">
                  <c:v>-6.6743366725774106E-2</c:v>
                </c:pt>
                <c:pt idx="3">
                  <c:v>-5.1537727471262403E-2</c:v>
                </c:pt>
                <c:pt idx="4">
                  <c:v>8.7432893504635692E-3</c:v>
                </c:pt>
                <c:pt idx="5">
                  <c:v>-9.1620264091587505E-3</c:v>
                </c:pt>
                <c:pt idx="6">
                  <c:v>3.2197518798397898E-2</c:v>
                </c:pt>
                <c:pt idx="7">
                  <c:v>-1.7257188371457798E-2</c:v>
                </c:pt>
              </c:numCache>
            </c:numRef>
          </c:val>
          <c:smooth val="0"/>
          <c:extLst>
            <c:ext xmlns:c16="http://schemas.microsoft.com/office/drawing/2014/chart" uri="{C3380CC4-5D6E-409C-BE32-E72D297353CC}">
              <c16:uniqueId val="{00000001-0579-4698-824E-469DF4783128}"/>
            </c:ext>
          </c:extLst>
        </c:ser>
        <c:ser>
          <c:idx val="1"/>
          <c:order val="2"/>
          <c:tx>
            <c:strRef>
              <c:f>'Ethnicity pay gap by year'!$E$4</c:f>
              <c:strCache>
                <c:ptCount val="1"/>
                <c:pt idx="0">
                  <c:v>Gridline</c:v>
                </c:pt>
              </c:strCache>
            </c:strRef>
          </c:tx>
          <c:spPr>
            <a:ln w="28575" cap="rnd">
              <a:solidFill>
                <a:schemeClr val="tx1"/>
              </a:solidFill>
              <a:prstDash val="dash"/>
              <a:round/>
            </a:ln>
            <a:effectLst/>
          </c:spPr>
          <c:marker>
            <c:symbol val="none"/>
          </c:marker>
          <c:val>
            <c:numRef>
              <c:f>'Ethnicity pay gap by year'!$E$5:$E$12</c:f>
              <c:numCache>
                <c:formatCode>0%</c:formatCode>
                <c:ptCount val="8"/>
                <c:pt idx="0">
                  <c:v>0</c:v>
                </c:pt>
                <c:pt idx="1">
                  <c:v>0</c:v>
                </c:pt>
                <c:pt idx="2">
                  <c:v>0</c:v>
                </c:pt>
                <c:pt idx="3">
                  <c:v>0</c:v>
                </c:pt>
                <c:pt idx="4">
                  <c:v>0</c:v>
                </c:pt>
                <c:pt idx="5">
                  <c:v>0</c:v>
                </c:pt>
                <c:pt idx="6">
                  <c:v>0</c:v>
                </c:pt>
                <c:pt idx="7">
                  <c:v>0</c:v>
                </c:pt>
              </c:numCache>
            </c:numRef>
          </c:val>
          <c:smooth val="0"/>
          <c:extLst>
            <c:ext xmlns:c16="http://schemas.microsoft.com/office/drawing/2014/chart" uri="{C3380CC4-5D6E-409C-BE32-E72D297353CC}">
              <c16:uniqueId val="{00000002-0579-4698-824E-469DF4783128}"/>
            </c:ext>
          </c:extLst>
        </c:ser>
        <c:dLbls>
          <c:showLegendKey val="0"/>
          <c:showVal val="0"/>
          <c:showCatName val="0"/>
          <c:showSerName val="0"/>
          <c:showPercent val="0"/>
          <c:showBubbleSize val="0"/>
        </c:dLbls>
        <c:marker val="1"/>
        <c:smooth val="0"/>
        <c:axId val="708003744"/>
        <c:axId val="708004224"/>
      </c:lineChart>
      <c:catAx>
        <c:axId val="7080037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708004224"/>
        <c:crosses val="autoZero"/>
        <c:auto val="1"/>
        <c:lblAlgn val="ctr"/>
        <c:lblOffset val="100"/>
        <c:noMultiLvlLbl val="0"/>
      </c:catAx>
      <c:valAx>
        <c:axId val="708004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GB" sz="1100"/>
                  <a:t>Pay</a:t>
                </a:r>
                <a:r>
                  <a:rPr lang="en-GB" sz="1100" baseline="0"/>
                  <a:t> Gap %</a:t>
                </a:r>
                <a:endParaRPr lang="en-GB" sz="1100"/>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GB"/>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708003744"/>
        <c:crossesAt val="1"/>
        <c:crossBetween val="midCat"/>
      </c:valAx>
      <c:spPr>
        <a:noFill/>
        <a:ln>
          <a:noFill/>
        </a:ln>
        <a:effectLst/>
      </c:spPr>
    </c:plotArea>
    <c:legend>
      <c:legendPos val="tr"/>
      <c:legendEntry>
        <c:idx val="2"/>
        <c:delete val="1"/>
      </c:legendEntry>
      <c:layout>
        <c:manualLayout>
          <c:xMode val="edge"/>
          <c:yMode val="edge"/>
          <c:x val="0.73978881655968498"/>
          <c:y val="0.54089683074848283"/>
          <c:w val="0.24248461574698466"/>
          <c:h val="0.18655311376705019"/>
        </c:manualLayout>
      </c:layout>
      <c:overlay val="1"/>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Ethnic Compisition by Pay Quartile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'[Ethnicity by Year.xlsx]March 2025 Data'!$B$18</c:f>
              <c:strCache>
                <c:ptCount val="1"/>
                <c:pt idx="0">
                  <c:v>Minority Ethnic</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'[Ethnicity by Year.xlsx]March 2025 Data'!$A$19:$A$22</c:f>
              <c:strCache>
                <c:ptCount val="4"/>
                <c:pt idx="0">
                  <c:v>Lower Quartile</c:v>
                </c:pt>
                <c:pt idx="1">
                  <c:v>Lower Middle Quartile</c:v>
                </c:pt>
                <c:pt idx="2">
                  <c:v>Upper Middle Quartile</c:v>
                </c:pt>
                <c:pt idx="3">
                  <c:v>Upper Quartile</c:v>
                </c:pt>
              </c:strCache>
            </c:strRef>
          </c:cat>
          <c:val>
            <c:numRef>
              <c:f>'[Ethnicity by Year.xlsx]March 2025 Data'!$B$19:$B$22</c:f>
              <c:numCache>
                <c:formatCode>0.0%</c:formatCode>
                <c:ptCount val="4"/>
                <c:pt idx="0">
                  <c:v>0.14336408800567779</c:v>
                </c:pt>
                <c:pt idx="1">
                  <c:v>0.25969275786393564</c:v>
                </c:pt>
                <c:pt idx="2">
                  <c:v>0.24881676808654496</c:v>
                </c:pt>
                <c:pt idx="3">
                  <c:v>0.17051013277428373</c:v>
                </c:pt>
              </c:numCache>
            </c:numRef>
          </c:val>
          <c:extLst>
            <c:ext xmlns:c16="http://schemas.microsoft.com/office/drawing/2014/chart" uri="{C3380CC4-5D6E-409C-BE32-E72D297353CC}">
              <c16:uniqueId val="{00000000-9553-442D-8407-975929967D92}"/>
            </c:ext>
          </c:extLst>
        </c:ser>
        <c:ser>
          <c:idx val="1"/>
          <c:order val="1"/>
          <c:tx>
            <c:strRef>
              <c:f>'[Ethnicity by Year.xlsx]March 2025 Data'!$C$18</c:f>
              <c:strCache>
                <c:ptCount val="1"/>
                <c:pt idx="0">
                  <c:v>White</c:v>
                </c:pt>
              </c:strCache>
            </c:strRef>
          </c:tx>
          <c:spPr>
            <a:solidFill>
              <a:schemeClr val="tx2">
                <a:lumMod val="75000"/>
                <a:lumOff val="2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'[Ethnicity by Year.xlsx]March 2025 Data'!$A$19:$A$22</c:f>
              <c:strCache>
                <c:ptCount val="4"/>
                <c:pt idx="0">
                  <c:v>Lower Quartile</c:v>
                </c:pt>
                <c:pt idx="1">
                  <c:v>Lower Middle Quartile</c:v>
                </c:pt>
                <c:pt idx="2">
                  <c:v>Upper Middle Quartile</c:v>
                </c:pt>
                <c:pt idx="3">
                  <c:v>Upper Quartile</c:v>
                </c:pt>
              </c:strCache>
            </c:strRef>
          </c:cat>
          <c:val>
            <c:numRef>
              <c:f>'[Ethnicity by Year.xlsx]March 2025 Data'!$C$19:$C$22</c:f>
              <c:numCache>
                <c:formatCode>0.0%</c:formatCode>
                <c:ptCount val="4"/>
                <c:pt idx="0">
                  <c:v>0.85663591199432221</c:v>
                </c:pt>
                <c:pt idx="1">
                  <c:v>0.74030724213606436</c:v>
                </c:pt>
                <c:pt idx="2">
                  <c:v>0.75118323191345504</c:v>
                </c:pt>
                <c:pt idx="3">
                  <c:v>0.82948986722571627</c:v>
                </c:pt>
              </c:numCache>
            </c:numRef>
          </c:val>
          <c:extLst>
            <c:ext xmlns:c16="http://schemas.microsoft.com/office/drawing/2014/chart" uri="{C3380CC4-5D6E-409C-BE32-E72D297353CC}">
              <c16:uniqueId val="{00000001-9553-442D-8407-975929967D92}"/>
            </c:ext>
          </c:extLst>
        </c:ser>
        <c:dLbls>
          <c:showLegendKey val="0"/>
          <c:showVal val="0"/>
          <c:showCatName val="0"/>
          <c:showSerName val="0"/>
          <c:showPercent val="0"/>
          <c:showBubbleSize val="0"/>
        </c:dLbls>
        <c:gapWidth val="58"/>
        <c:overlap val="100"/>
        <c:axId val="928658992"/>
        <c:axId val="928659472"/>
      </c:barChart>
      <c:catAx>
        <c:axId val="92865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928659472"/>
        <c:crosses val="autoZero"/>
        <c:auto val="1"/>
        <c:lblAlgn val="ctr"/>
        <c:lblOffset val="100"/>
        <c:noMultiLvlLbl val="0"/>
      </c:catAx>
      <c:valAx>
        <c:axId val="928659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GB" sz="1100"/>
                  <a:t>Percentage</a:t>
                </a:r>
                <a:r>
                  <a:rPr lang="en-GB" sz="1100" baseline="0"/>
                  <a:t> of staff in quartile</a:t>
                </a:r>
                <a:endParaRPr lang="en-GB" sz="1100"/>
              </a:p>
            </c:rich>
          </c:tx>
          <c:layout>
            <c:manualLayout>
              <c:xMode val="edge"/>
              <c:yMode val="edge"/>
              <c:x val="2.4374030578329271E-2"/>
              <c:y val="0.11174969868483228"/>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GB"/>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928658992"/>
        <c:crosses val="autoZero"/>
        <c:crossBetween val="between"/>
      </c:valAx>
      <c:spPr>
        <a:noFill/>
        <a:ln>
          <a:noFill/>
        </a:ln>
        <a:effectLst/>
      </c:spPr>
    </c:plotArea>
    <c:legend>
      <c:legendPos val="tr"/>
      <c:layout>
        <c:manualLayout>
          <c:xMode val="edge"/>
          <c:yMode val="edge"/>
          <c:x val="0.66403777034466993"/>
          <c:y val="0.1069308606161072"/>
          <c:w val="0.24215867876328537"/>
          <c:h val="0.20649825960596127"/>
        </c:manualLayout>
      </c:layout>
      <c:overlay val="1"/>
      <c:spPr>
        <a:solidFill>
          <a:schemeClr val="bg1"/>
        </a:solidFill>
        <a:ln>
          <a:solidFill>
            <a:schemeClr val="accent1"/>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14</Pages>
  <Words>3184</Words>
  <Characters>18152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Comb</dc:creator>
  <cp:keywords/>
  <dc:description/>
  <cp:lastModifiedBy>Comb Julie</cp:lastModifiedBy>
  <cp:revision>2</cp:revision>
  <dcterms:created xsi:type="dcterms:W3CDTF">2025-05-07T11:23:00Z</dcterms:created>
  <dcterms:modified xsi:type="dcterms:W3CDTF">2025-05-07T11:23:00Z</dcterms:modified>
</cp:coreProperties>
</file>