
<file path=[Content_Types].xml><?xml version="1.0" encoding="utf-8"?>
<Types xmlns="http://schemas.openxmlformats.org/package/2006/content-types">
  <Default Extension="png" ContentType="image/png"/>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974EFC2" w14:textId="30C84315" w:rsidR="00A3157B" w:rsidRPr="00A3157B" w:rsidRDefault="00A3157B" w:rsidP="00A3157B">
      <w:pPr>
        <w:rPr>
          <w:rFonts w:ascii="Arial" w:hAnsi="Arial" w:cs="Arial"/>
          <w:b/>
          <w:bCs/>
        </w:rPr>
      </w:pPr>
      <w:r w:rsidRPr="00A3157B">
        <w:rPr>
          <w:rFonts w:ascii="Arial" w:hAnsi="Arial" w:cs="Arial"/>
          <w:b/>
          <w:bCs/>
        </w:rPr>
        <w:t>Gender Pay Gap Report 2026</w:t>
      </w:r>
    </w:p>
    <w:p w14:paraId="747E081E" w14:textId="7B8AEE8A" w:rsidR="000B78BB" w:rsidRPr="00823388" w:rsidRDefault="000B78BB" w:rsidP="00825FB1">
      <w:pPr>
        <w:pStyle w:val="ListParagraph"/>
        <w:numPr>
          <w:ilvl w:val="0"/>
          <w:numId w:val="1"/>
        </w:numPr>
        <w:ind w:hanging="720"/>
        <w:rPr>
          <w:rFonts w:ascii="Arial" w:hAnsi="Arial" w:cs="Arial"/>
          <w:b/>
          <w:bCs/>
        </w:rPr>
      </w:pPr>
      <w:r w:rsidRPr="00823388">
        <w:rPr>
          <w:rFonts w:ascii="Arial" w:hAnsi="Arial" w:cs="Arial"/>
          <w:b/>
          <w:bCs/>
        </w:rPr>
        <w:t xml:space="preserve">Introduction </w:t>
      </w:r>
    </w:p>
    <w:p w14:paraId="65F16F37" w14:textId="3B34E39D" w:rsidR="00600F63" w:rsidRDefault="00D40568">
      <w:pPr>
        <w:rPr>
          <w:rFonts w:ascii="Arial" w:hAnsi="Arial" w:cs="Arial"/>
        </w:rPr>
      </w:pPr>
      <w:r w:rsidRPr="00823388">
        <w:rPr>
          <w:rFonts w:ascii="Arial" w:hAnsi="Arial" w:cs="Arial"/>
        </w:rPr>
        <w:t xml:space="preserve">Organisations are required to </w:t>
      </w:r>
      <w:r w:rsidR="00091622" w:rsidRPr="00823388">
        <w:rPr>
          <w:rFonts w:ascii="Arial" w:hAnsi="Arial" w:cs="Arial"/>
        </w:rPr>
        <w:t xml:space="preserve">report and </w:t>
      </w:r>
      <w:r w:rsidRPr="00823388">
        <w:rPr>
          <w:rFonts w:ascii="Arial" w:hAnsi="Arial" w:cs="Arial"/>
        </w:rPr>
        <w:t xml:space="preserve">publish their gender pay gap data within one year of their snapshot date. The Trust’s snapshot date is 31 March </w:t>
      </w:r>
      <w:proofErr w:type="gramStart"/>
      <w:r w:rsidRPr="00823388">
        <w:rPr>
          <w:rFonts w:ascii="Arial" w:hAnsi="Arial" w:cs="Arial"/>
        </w:rPr>
        <w:t>2026,</w:t>
      </w:r>
      <w:proofErr w:type="gramEnd"/>
      <w:r w:rsidRPr="00823388">
        <w:rPr>
          <w:rFonts w:ascii="Arial" w:hAnsi="Arial" w:cs="Arial"/>
        </w:rPr>
        <w:t xml:space="preserve"> therefore we are required to </w:t>
      </w:r>
      <w:r w:rsidR="00091622" w:rsidRPr="00823388">
        <w:rPr>
          <w:rFonts w:ascii="Arial" w:hAnsi="Arial" w:cs="Arial"/>
        </w:rPr>
        <w:t xml:space="preserve">report and </w:t>
      </w:r>
      <w:r w:rsidRPr="00823388">
        <w:rPr>
          <w:rFonts w:ascii="Arial" w:hAnsi="Arial" w:cs="Arial"/>
        </w:rPr>
        <w:t>publish our data</w:t>
      </w:r>
      <w:r w:rsidR="00091622" w:rsidRPr="00823388">
        <w:rPr>
          <w:rFonts w:ascii="Arial" w:hAnsi="Arial" w:cs="Arial"/>
        </w:rPr>
        <w:t xml:space="preserve"> by 30 March 2027.</w:t>
      </w:r>
      <w:r w:rsidR="000659A1">
        <w:rPr>
          <w:rFonts w:ascii="Arial" w:hAnsi="Arial" w:cs="Arial"/>
        </w:rPr>
        <w:t xml:space="preserve"> </w:t>
      </w:r>
    </w:p>
    <w:p w14:paraId="595F876F" w14:textId="10F1FB7B" w:rsidR="000659A1" w:rsidRDefault="000659A1">
      <w:pPr>
        <w:rPr>
          <w:rFonts w:ascii="Arial" w:hAnsi="Arial" w:cs="Arial"/>
        </w:rPr>
      </w:pPr>
      <w:r>
        <w:rPr>
          <w:rFonts w:ascii="Arial" w:hAnsi="Arial" w:cs="Arial"/>
        </w:rPr>
        <w:t xml:space="preserve">In addition to this report, to comply with statutory reporting requirements, Trust data will be reported using the government pay gap reporting portal before 30 March 2027 and will be published on the Trust’s website. </w:t>
      </w:r>
    </w:p>
    <w:p w14:paraId="3352C3D9" w14:textId="7E6895E5" w:rsidR="00823388" w:rsidRPr="00823388" w:rsidRDefault="00823388" w:rsidP="00825FB1">
      <w:pPr>
        <w:pStyle w:val="ListParagraph"/>
        <w:numPr>
          <w:ilvl w:val="0"/>
          <w:numId w:val="1"/>
        </w:numPr>
        <w:ind w:hanging="720"/>
        <w:rPr>
          <w:rFonts w:ascii="Arial" w:hAnsi="Arial" w:cs="Arial"/>
          <w:b/>
          <w:bCs/>
        </w:rPr>
      </w:pPr>
      <w:r w:rsidRPr="00823388">
        <w:rPr>
          <w:rFonts w:ascii="Arial" w:hAnsi="Arial" w:cs="Arial"/>
          <w:b/>
          <w:bCs/>
        </w:rPr>
        <w:t xml:space="preserve">Purpose </w:t>
      </w:r>
    </w:p>
    <w:p w14:paraId="2A23F794" w14:textId="23430212" w:rsidR="000B78BB" w:rsidRDefault="000B78BB">
      <w:pPr>
        <w:rPr>
          <w:rFonts w:ascii="Arial" w:hAnsi="Arial" w:cs="Arial"/>
        </w:rPr>
      </w:pPr>
      <w:r w:rsidRPr="00823388">
        <w:rPr>
          <w:rFonts w:ascii="Arial" w:hAnsi="Arial" w:cs="Arial"/>
        </w:rPr>
        <w:t xml:space="preserve">This report presents the Trust’s gender pay gap </w:t>
      </w:r>
      <w:r w:rsidR="00D40568" w:rsidRPr="00823388">
        <w:rPr>
          <w:rFonts w:ascii="Arial" w:hAnsi="Arial" w:cs="Arial"/>
        </w:rPr>
        <w:t xml:space="preserve">information </w:t>
      </w:r>
      <w:r w:rsidR="00823388">
        <w:rPr>
          <w:rFonts w:ascii="Arial" w:hAnsi="Arial" w:cs="Arial"/>
        </w:rPr>
        <w:t>using</w:t>
      </w:r>
      <w:r w:rsidRPr="00823388">
        <w:rPr>
          <w:rFonts w:ascii="Arial" w:hAnsi="Arial" w:cs="Arial"/>
        </w:rPr>
        <w:t xml:space="preserve"> data from the NHS Electronic Staff Record (ESR)</w:t>
      </w:r>
      <w:r w:rsidR="00201F49">
        <w:rPr>
          <w:rFonts w:ascii="Arial" w:hAnsi="Arial" w:cs="Arial"/>
        </w:rPr>
        <w:t xml:space="preserve"> and includes our substantive workforce and those engaged via Trust Bank</w:t>
      </w:r>
      <w:r w:rsidRPr="00823388">
        <w:rPr>
          <w:rFonts w:ascii="Arial" w:hAnsi="Arial" w:cs="Arial"/>
        </w:rPr>
        <w:t>. The reporting hourly pay calculated in accordance with government guidelines.</w:t>
      </w:r>
    </w:p>
    <w:p w14:paraId="118D2E6A" w14:textId="49FEA8F4" w:rsidR="00823388" w:rsidRDefault="00823388">
      <w:pPr>
        <w:rPr>
          <w:rFonts w:ascii="Arial" w:hAnsi="Arial" w:cs="Arial"/>
        </w:rPr>
      </w:pPr>
      <w:r w:rsidRPr="00823388">
        <w:rPr>
          <w:rFonts w:ascii="Arial" w:hAnsi="Arial" w:cs="Arial"/>
        </w:rPr>
        <w:t>Th</w:t>
      </w:r>
      <w:r>
        <w:rPr>
          <w:rFonts w:ascii="Arial" w:hAnsi="Arial" w:cs="Arial"/>
        </w:rPr>
        <w:t>e</w:t>
      </w:r>
      <w:r w:rsidRPr="00823388">
        <w:rPr>
          <w:rFonts w:ascii="Arial" w:hAnsi="Arial" w:cs="Arial"/>
        </w:rPr>
        <w:t xml:space="preserve"> report calculates both median and mean averages to measure the gender pay gap – the difference between average hourly rates paid to men and women.</w:t>
      </w:r>
    </w:p>
    <w:p w14:paraId="30E381F5" w14:textId="3AD9E912" w:rsidR="00823388" w:rsidRDefault="00823388" w:rsidP="00825FB1">
      <w:pPr>
        <w:pStyle w:val="ListParagraph"/>
        <w:numPr>
          <w:ilvl w:val="0"/>
          <w:numId w:val="1"/>
        </w:numPr>
        <w:ind w:hanging="720"/>
        <w:rPr>
          <w:rFonts w:ascii="Arial" w:hAnsi="Arial" w:cs="Arial"/>
          <w:b/>
          <w:bCs/>
        </w:rPr>
      </w:pPr>
      <w:r w:rsidRPr="00823388">
        <w:rPr>
          <w:rFonts w:ascii="Arial" w:hAnsi="Arial" w:cs="Arial"/>
          <w:b/>
          <w:bCs/>
        </w:rPr>
        <w:t xml:space="preserve">The Trust’s current gender </w:t>
      </w:r>
      <w:proofErr w:type="gramStart"/>
      <w:r w:rsidRPr="00823388">
        <w:rPr>
          <w:rFonts w:ascii="Arial" w:hAnsi="Arial" w:cs="Arial"/>
          <w:b/>
          <w:bCs/>
        </w:rPr>
        <w:t>pay</w:t>
      </w:r>
      <w:proofErr w:type="gramEnd"/>
      <w:r w:rsidRPr="00823388">
        <w:rPr>
          <w:rFonts w:ascii="Arial" w:hAnsi="Arial" w:cs="Arial"/>
          <w:b/>
          <w:bCs/>
        </w:rPr>
        <w:t xml:space="preserve"> position (31 March 2026)</w:t>
      </w:r>
    </w:p>
    <w:p w14:paraId="4D655375" w14:textId="77777777" w:rsidR="00F905D1" w:rsidRDefault="00F905D1" w:rsidP="00F905D1">
      <w:pPr>
        <w:pStyle w:val="ListParagraph"/>
        <w:rPr>
          <w:rFonts w:ascii="Arial" w:hAnsi="Arial" w:cs="Arial"/>
          <w:b/>
          <w:bCs/>
        </w:rPr>
      </w:pPr>
    </w:p>
    <w:p w14:paraId="01AFAA9C" w14:textId="04E84C82" w:rsidR="00F905D1" w:rsidRPr="00823388" w:rsidRDefault="00F905D1" w:rsidP="00825FB1">
      <w:pPr>
        <w:pStyle w:val="ListParagraph"/>
        <w:numPr>
          <w:ilvl w:val="1"/>
          <w:numId w:val="1"/>
        </w:numPr>
        <w:ind w:left="1134" w:hanging="425"/>
        <w:rPr>
          <w:rFonts w:ascii="Arial" w:hAnsi="Arial" w:cs="Arial"/>
          <w:b/>
          <w:bCs/>
        </w:rPr>
      </w:pPr>
      <w:r>
        <w:rPr>
          <w:rFonts w:ascii="Arial" w:hAnsi="Arial" w:cs="Arial"/>
          <w:b/>
          <w:bCs/>
        </w:rPr>
        <w:t>Mean and median hourly rates</w:t>
      </w:r>
    </w:p>
    <w:p w14:paraId="4D6437C4" w14:textId="1B1BF904" w:rsidR="00823388" w:rsidRDefault="00823388" w:rsidP="000B78BB">
      <w:pPr>
        <w:pStyle w:val="BodyText"/>
        <w:rPr>
          <w:rFonts w:ascii="Arial" w:hAnsi="Arial" w:cs="Arial"/>
          <w:sz w:val="24"/>
          <w:szCs w:val="24"/>
        </w:rPr>
      </w:pPr>
      <w:r>
        <w:rPr>
          <w:rFonts w:ascii="Arial" w:hAnsi="Arial" w:cs="Arial"/>
          <w:sz w:val="24"/>
          <w:szCs w:val="24"/>
        </w:rPr>
        <w:t>The data below shows the comparative mean and median hourly rates for men and women in the Trust</w:t>
      </w:r>
      <w:r w:rsidR="000659A1">
        <w:rPr>
          <w:rFonts w:ascii="Arial" w:hAnsi="Arial" w:cs="Arial"/>
          <w:sz w:val="24"/>
          <w:szCs w:val="24"/>
        </w:rPr>
        <w:t xml:space="preserve"> on 31 March 2026</w:t>
      </w:r>
      <w:r>
        <w:rPr>
          <w:rFonts w:ascii="Arial" w:hAnsi="Arial" w:cs="Arial"/>
          <w:sz w:val="24"/>
          <w:szCs w:val="24"/>
        </w:rPr>
        <w:t xml:space="preserve">. </w:t>
      </w:r>
    </w:p>
    <w:p w14:paraId="5B28811D" w14:textId="4F42B69B" w:rsidR="00823388" w:rsidRDefault="00823388" w:rsidP="000B78BB">
      <w:pPr>
        <w:pStyle w:val="BodyText"/>
        <w:rPr>
          <w:rFonts w:ascii="Arial" w:hAnsi="Arial" w:cs="Arial"/>
          <w:sz w:val="24"/>
          <w:szCs w:val="24"/>
        </w:rPr>
      </w:pPr>
      <w:r>
        <w:rPr>
          <w:rFonts w:ascii="Arial" w:hAnsi="Arial" w:cs="Arial"/>
          <w:sz w:val="24"/>
          <w:szCs w:val="24"/>
        </w:rPr>
        <w:t xml:space="preserve">The mean hourly rate is calculated </w:t>
      </w:r>
      <w:r w:rsidRPr="00823388">
        <w:rPr>
          <w:rFonts w:ascii="Arial" w:hAnsi="Arial" w:cs="Arial"/>
          <w:sz w:val="24"/>
          <w:szCs w:val="24"/>
          <w:lang w:val="en-GB"/>
        </w:rPr>
        <w:t xml:space="preserve">by adding all pay rates together and dividing by the total number of </w:t>
      </w:r>
      <w:r>
        <w:rPr>
          <w:rFonts w:ascii="Arial" w:hAnsi="Arial" w:cs="Arial"/>
          <w:sz w:val="24"/>
          <w:szCs w:val="24"/>
          <w:lang w:val="en-GB"/>
        </w:rPr>
        <w:t xml:space="preserve">individuals. </w:t>
      </w:r>
    </w:p>
    <w:p w14:paraId="4CBAC56F" w14:textId="595A3416" w:rsidR="00823388" w:rsidRPr="00823388" w:rsidRDefault="00823388" w:rsidP="000B78BB">
      <w:pPr>
        <w:pStyle w:val="BodyText"/>
        <w:rPr>
          <w:rFonts w:ascii="Arial" w:hAnsi="Arial" w:cs="Arial"/>
          <w:sz w:val="24"/>
          <w:szCs w:val="24"/>
        </w:rPr>
      </w:pPr>
      <w:r w:rsidRPr="00823388">
        <w:rPr>
          <w:rFonts w:ascii="Arial" w:hAnsi="Arial" w:cs="Arial"/>
          <w:sz w:val="24"/>
          <w:szCs w:val="24"/>
          <w:lang w:val="en-GB"/>
        </w:rPr>
        <w:t>The median gender pay gap is the difference in hourly pay between the midpoint female earner and the midpoint male earner. This is calculated by ranking all employees in each group by hourly wage and selecting the middle value. This method reduces the influence of very high or very low salaries on the overall figure.</w:t>
      </w:r>
    </w:p>
    <w:tbl>
      <w:tblPr>
        <w:tblW w:w="0" w:type="auto"/>
        <w:jc w:val="center"/>
        <w:tblLayout w:type="fixed"/>
        <w:tblLook w:val="04A0" w:firstRow="1" w:lastRow="0" w:firstColumn="1" w:lastColumn="0" w:noHBand="0" w:noVBand="1"/>
      </w:tblPr>
      <w:tblGrid>
        <w:gridCol w:w="3168"/>
        <w:gridCol w:w="1728"/>
        <w:gridCol w:w="1728"/>
        <w:gridCol w:w="2304"/>
      </w:tblGrid>
      <w:tr w:rsidR="000B78BB" w:rsidRPr="00823388" w14:paraId="69BE518A" w14:textId="77777777" w:rsidTr="00491252">
        <w:trPr>
          <w:jc w:val="center"/>
        </w:trPr>
        <w:tc>
          <w:tcPr>
            <w:tcW w:w="3168" w:type="dxa"/>
            <w:shd w:val="clear" w:color="auto" w:fill="005EB8"/>
            <w:vAlign w:val="center"/>
          </w:tcPr>
          <w:p w14:paraId="0DE74AA8" w14:textId="40666282" w:rsidR="000B78BB" w:rsidRPr="00823388" w:rsidRDefault="000B78BB" w:rsidP="00491252">
            <w:pPr>
              <w:jc w:val="center"/>
              <w:rPr>
                <w:rFonts w:ascii="Arial" w:hAnsi="Arial" w:cs="Arial"/>
              </w:rPr>
            </w:pPr>
            <w:r w:rsidRPr="00823388">
              <w:rPr>
                <w:rFonts w:ascii="Arial" w:hAnsi="Arial" w:cs="Arial"/>
                <w:b/>
                <w:color w:val="FFFFFF"/>
              </w:rPr>
              <w:t>Measur</w:t>
            </w:r>
            <w:r w:rsidR="00823388">
              <w:rPr>
                <w:rFonts w:ascii="Arial" w:hAnsi="Arial" w:cs="Arial"/>
                <w:b/>
                <w:color w:val="FFFFFF"/>
              </w:rPr>
              <w:t>e</w:t>
            </w:r>
          </w:p>
        </w:tc>
        <w:tc>
          <w:tcPr>
            <w:tcW w:w="1728" w:type="dxa"/>
            <w:shd w:val="clear" w:color="auto" w:fill="005EB8"/>
            <w:vAlign w:val="center"/>
          </w:tcPr>
          <w:p w14:paraId="7D27D7C9" w14:textId="77777777" w:rsidR="000B78BB" w:rsidRPr="00823388" w:rsidRDefault="000B78BB" w:rsidP="00491252">
            <w:pPr>
              <w:jc w:val="center"/>
              <w:rPr>
                <w:rFonts w:ascii="Arial" w:hAnsi="Arial" w:cs="Arial"/>
              </w:rPr>
            </w:pPr>
            <w:r w:rsidRPr="00823388">
              <w:rPr>
                <w:rFonts w:ascii="Arial" w:hAnsi="Arial" w:cs="Arial"/>
                <w:b/>
                <w:color w:val="FFFFFF"/>
              </w:rPr>
              <w:t>Men</w:t>
            </w:r>
          </w:p>
        </w:tc>
        <w:tc>
          <w:tcPr>
            <w:tcW w:w="1728" w:type="dxa"/>
            <w:shd w:val="clear" w:color="auto" w:fill="005EB8"/>
            <w:vAlign w:val="center"/>
          </w:tcPr>
          <w:p w14:paraId="7C8E222B" w14:textId="77777777" w:rsidR="000B78BB" w:rsidRPr="00823388" w:rsidRDefault="000B78BB" w:rsidP="00491252">
            <w:pPr>
              <w:jc w:val="center"/>
              <w:rPr>
                <w:rFonts w:ascii="Arial" w:hAnsi="Arial" w:cs="Arial"/>
              </w:rPr>
            </w:pPr>
            <w:r w:rsidRPr="00823388">
              <w:rPr>
                <w:rFonts w:ascii="Arial" w:hAnsi="Arial" w:cs="Arial"/>
                <w:b/>
                <w:color w:val="FFFFFF"/>
              </w:rPr>
              <w:t>Women</w:t>
            </w:r>
          </w:p>
        </w:tc>
        <w:tc>
          <w:tcPr>
            <w:tcW w:w="2304" w:type="dxa"/>
            <w:shd w:val="clear" w:color="auto" w:fill="005EB8"/>
            <w:vAlign w:val="center"/>
          </w:tcPr>
          <w:p w14:paraId="73C1B80A" w14:textId="77777777" w:rsidR="000B78BB" w:rsidRPr="00823388" w:rsidRDefault="000B78BB" w:rsidP="00491252">
            <w:pPr>
              <w:jc w:val="center"/>
              <w:rPr>
                <w:rFonts w:ascii="Arial" w:hAnsi="Arial" w:cs="Arial"/>
              </w:rPr>
            </w:pPr>
            <w:r w:rsidRPr="00823388">
              <w:rPr>
                <w:rFonts w:ascii="Arial" w:hAnsi="Arial" w:cs="Arial"/>
                <w:b/>
                <w:color w:val="FFFFFF"/>
              </w:rPr>
              <w:t>Gap</w:t>
            </w:r>
          </w:p>
        </w:tc>
      </w:tr>
      <w:tr w:rsidR="000B78BB" w:rsidRPr="00823388" w14:paraId="599B5159" w14:textId="77777777" w:rsidTr="00491252">
        <w:trPr>
          <w:jc w:val="center"/>
        </w:trPr>
        <w:tc>
          <w:tcPr>
            <w:tcW w:w="3168" w:type="dxa"/>
            <w:tcBorders>
              <w:top w:val="single" w:sz="6" w:space="0" w:color="D9E1F2"/>
              <w:left w:val="single" w:sz="6" w:space="0" w:color="D9E1F2"/>
              <w:bottom w:val="single" w:sz="6" w:space="0" w:color="D9E1F2"/>
              <w:right w:val="single" w:sz="6" w:space="0" w:color="D9E1F2"/>
            </w:tcBorders>
            <w:shd w:val="clear" w:color="auto" w:fill="F7FBFF"/>
            <w:vAlign w:val="center"/>
          </w:tcPr>
          <w:p w14:paraId="454B095A" w14:textId="77777777" w:rsidR="000B78BB" w:rsidRPr="00823388" w:rsidRDefault="000B78BB" w:rsidP="00491252">
            <w:pPr>
              <w:rPr>
                <w:rFonts w:ascii="Arial" w:hAnsi="Arial" w:cs="Arial"/>
              </w:rPr>
            </w:pPr>
            <w:r w:rsidRPr="00823388">
              <w:rPr>
                <w:rFonts w:ascii="Arial" w:hAnsi="Arial" w:cs="Arial"/>
                <w:b/>
                <w:color w:val="000000"/>
              </w:rPr>
              <w:t>Mean hourly pay</w:t>
            </w:r>
          </w:p>
        </w:tc>
        <w:tc>
          <w:tcPr>
            <w:tcW w:w="1728" w:type="dxa"/>
            <w:tcBorders>
              <w:top w:val="single" w:sz="6" w:space="0" w:color="D9E1F2"/>
              <w:left w:val="single" w:sz="6" w:space="0" w:color="D9E1F2"/>
              <w:bottom w:val="single" w:sz="6" w:space="0" w:color="D9E1F2"/>
              <w:right w:val="single" w:sz="6" w:space="0" w:color="D9E1F2"/>
            </w:tcBorders>
            <w:shd w:val="clear" w:color="auto" w:fill="F7FBFF"/>
            <w:vAlign w:val="center"/>
          </w:tcPr>
          <w:p w14:paraId="6AB2A2F3" w14:textId="77777777" w:rsidR="000B78BB" w:rsidRPr="00823388" w:rsidRDefault="000B78BB" w:rsidP="00491252">
            <w:pPr>
              <w:jc w:val="center"/>
              <w:rPr>
                <w:rFonts w:ascii="Arial" w:hAnsi="Arial" w:cs="Arial"/>
              </w:rPr>
            </w:pPr>
            <w:r w:rsidRPr="00823388">
              <w:rPr>
                <w:rFonts w:ascii="Arial" w:hAnsi="Arial" w:cs="Arial"/>
                <w:color w:val="000000"/>
              </w:rPr>
              <w:t>£23.67</w:t>
            </w:r>
          </w:p>
        </w:tc>
        <w:tc>
          <w:tcPr>
            <w:tcW w:w="1728" w:type="dxa"/>
            <w:tcBorders>
              <w:top w:val="single" w:sz="6" w:space="0" w:color="D9E1F2"/>
              <w:left w:val="single" w:sz="6" w:space="0" w:color="D9E1F2"/>
              <w:bottom w:val="single" w:sz="6" w:space="0" w:color="D9E1F2"/>
              <w:right w:val="single" w:sz="6" w:space="0" w:color="D9E1F2"/>
            </w:tcBorders>
            <w:shd w:val="clear" w:color="auto" w:fill="F7FBFF"/>
            <w:vAlign w:val="center"/>
          </w:tcPr>
          <w:p w14:paraId="62223BA3" w14:textId="77777777" w:rsidR="000B78BB" w:rsidRPr="00823388" w:rsidRDefault="000B78BB" w:rsidP="00491252">
            <w:pPr>
              <w:jc w:val="center"/>
              <w:rPr>
                <w:rFonts w:ascii="Arial" w:hAnsi="Arial" w:cs="Arial"/>
              </w:rPr>
            </w:pPr>
            <w:r w:rsidRPr="00823388">
              <w:rPr>
                <w:rFonts w:ascii="Arial" w:hAnsi="Arial" w:cs="Arial"/>
                <w:color w:val="000000"/>
              </w:rPr>
              <w:t>£20.54</w:t>
            </w:r>
          </w:p>
        </w:tc>
        <w:tc>
          <w:tcPr>
            <w:tcW w:w="2304" w:type="dxa"/>
            <w:tcBorders>
              <w:top w:val="single" w:sz="6" w:space="0" w:color="D9E1F2"/>
              <w:left w:val="single" w:sz="6" w:space="0" w:color="D9E1F2"/>
              <w:bottom w:val="single" w:sz="6" w:space="0" w:color="D9E1F2"/>
              <w:right w:val="single" w:sz="6" w:space="0" w:color="D9E1F2"/>
            </w:tcBorders>
            <w:shd w:val="clear" w:color="auto" w:fill="F7FBFF"/>
            <w:vAlign w:val="center"/>
          </w:tcPr>
          <w:p w14:paraId="5656C39D" w14:textId="77777777" w:rsidR="000B78BB" w:rsidRPr="00823388" w:rsidRDefault="000B78BB" w:rsidP="00491252">
            <w:pPr>
              <w:jc w:val="center"/>
              <w:rPr>
                <w:rFonts w:ascii="Arial" w:hAnsi="Arial" w:cs="Arial"/>
              </w:rPr>
            </w:pPr>
            <w:r w:rsidRPr="00823388">
              <w:rPr>
                <w:rFonts w:ascii="Arial" w:hAnsi="Arial" w:cs="Arial"/>
                <w:b/>
                <w:color w:val="C00000"/>
              </w:rPr>
              <w:t>13.2%</w:t>
            </w:r>
          </w:p>
        </w:tc>
      </w:tr>
      <w:tr w:rsidR="000B78BB" w:rsidRPr="00823388" w14:paraId="51280B92" w14:textId="77777777" w:rsidTr="00491252">
        <w:trPr>
          <w:jc w:val="center"/>
        </w:trPr>
        <w:tc>
          <w:tcPr>
            <w:tcW w:w="3168" w:type="dxa"/>
            <w:tcBorders>
              <w:top w:val="single" w:sz="6" w:space="0" w:color="D9E1F2"/>
              <w:left w:val="single" w:sz="6" w:space="0" w:color="D9E1F2"/>
              <w:bottom w:val="single" w:sz="6" w:space="0" w:color="D9E1F2"/>
              <w:right w:val="single" w:sz="6" w:space="0" w:color="D9E1F2"/>
            </w:tcBorders>
            <w:vAlign w:val="center"/>
          </w:tcPr>
          <w:p w14:paraId="368CB214" w14:textId="77777777" w:rsidR="000B78BB" w:rsidRPr="00823388" w:rsidRDefault="000B78BB" w:rsidP="00491252">
            <w:pPr>
              <w:rPr>
                <w:rFonts w:ascii="Arial" w:hAnsi="Arial" w:cs="Arial"/>
              </w:rPr>
            </w:pPr>
            <w:r w:rsidRPr="00823388">
              <w:rPr>
                <w:rFonts w:ascii="Arial" w:hAnsi="Arial" w:cs="Arial"/>
                <w:b/>
                <w:color w:val="000000"/>
              </w:rPr>
              <w:t>Median hourly pay</w:t>
            </w:r>
          </w:p>
        </w:tc>
        <w:tc>
          <w:tcPr>
            <w:tcW w:w="1728" w:type="dxa"/>
            <w:tcBorders>
              <w:top w:val="single" w:sz="6" w:space="0" w:color="D9E1F2"/>
              <w:left w:val="single" w:sz="6" w:space="0" w:color="D9E1F2"/>
              <w:bottom w:val="single" w:sz="6" w:space="0" w:color="D9E1F2"/>
              <w:right w:val="single" w:sz="6" w:space="0" w:color="D9E1F2"/>
            </w:tcBorders>
            <w:vAlign w:val="center"/>
          </w:tcPr>
          <w:p w14:paraId="4E986E93" w14:textId="77777777" w:rsidR="000B78BB" w:rsidRPr="00823388" w:rsidRDefault="000B78BB" w:rsidP="00491252">
            <w:pPr>
              <w:jc w:val="center"/>
              <w:rPr>
                <w:rFonts w:ascii="Arial" w:hAnsi="Arial" w:cs="Arial"/>
              </w:rPr>
            </w:pPr>
            <w:r w:rsidRPr="00823388">
              <w:rPr>
                <w:rFonts w:ascii="Arial" w:hAnsi="Arial" w:cs="Arial"/>
                <w:color w:val="000000"/>
              </w:rPr>
              <w:t>£20.27</w:t>
            </w:r>
          </w:p>
        </w:tc>
        <w:tc>
          <w:tcPr>
            <w:tcW w:w="1728" w:type="dxa"/>
            <w:tcBorders>
              <w:top w:val="single" w:sz="6" w:space="0" w:color="D9E1F2"/>
              <w:left w:val="single" w:sz="6" w:space="0" w:color="D9E1F2"/>
              <w:bottom w:val="single" w:sz="6" w:space="0" w:color="D9E1F2"/>
              <w:right w:val="single" w:sz="6" w:space="0" w:color="D9E1F2"/>
            </w:tcBorders>
            <w:vAlign w:val="center"/>
          </w:tcPr>
          <w:p w14:paraId="48D6D7EA" w14:textId="77777777" w:rsidR="000B78BB" w:rsidRPr="00823388" w:rsidRDefault="000B78BB" w:rsidP="00491252">
            <w:pPr>
              <w:jc w:val="center"/>
              <w:rPr>
                <w:rFonts w:ascii="Arial" w:hAnsi="Arial" w:cs="Arial"/>
              </w:rPr>
            </w:pPr>
            <w:r w:rsidRPr="00823388">
              <w:rPr>
                <w:rFonts w:ascii="Arial" w:hAnsi="Arial" w:cs="Arial"/>
                <w:color w:val="000000"/>
              </w:rPr>
              <w:t>£19.33</w:t>
            </w:r>
          </w:p>
        </w:tc>
        <w:tc>
          <w:tcPr>
            <w:tcW w:w="2304" w:type="dxa"/>
            <w:tcBorders>
              <w:top w:val="single" w:sz="6" w:space="0" w:color="D9E1F2"/>
              <w:left w:val="single" w:sz="6" w:space="0" w:color="D9E1F2"/>
              <w:bottom w:val="single" w:sz="6" w:space="0" w:color="D9E1F2"/>
              <w:right w:val="single" w:sz="6" w:space="0" w:color="D9E1F2"/>
            </w:tcBorders>
            <w:vAlign w:val="center"/>
          </w:tcPr>
          <w:p w14:paraId="75261607" w14:textId="77777777" w:rsidR="000B78BB" w:rsidRPr="00823388" w:rsidRDefault="000B78BB" w:rsidP="00491252">
            <w:pPr>
              <w:jc w:val="center"/>
              <w:rPr>
                <w:rFonts w:ascii="Arial" w:hAnsi="Arial" w:cs="Arial"/>
              </w:rPr>
            </w:pPr>
            <w:r w:rsidRPr="00823388">
              <w:rPr>
                <w:rFonts w:ascii="Arial" w:hAnsi="Arial" w:cs="Arial"/>
                <w:b/>
                <w:color w:val="C00000"/>
              </w:rPr>
              <w:t>4.7%</w:t>
            </w:r>
          </w:p>
        </w:tc>
      </w:tr>
    </w:tbl>
    <w:p w14:paraId="0850B1CA" w14:textId="77777777" w:rsidR="000B78BB" w:rsidRPr="00823388" w:rsidRDefault="000B78BB" w:rsidP="000B78BB">
      <w:pPr>
        <w:spacing w:after="120"/>
        <w:rPr>
          <w:rFonts w:ascii="Arial" w:hAnsi="Arial" w:cs="Arial"/>
          <w:noProof/>
        </w:rPr>
      </w:pPr>
    </w:p>
    <w:p w14:paraId="5F450C64" w14:textId="03464BA6" w:rsidR="00823388" w:rsidRDefault="00823388" w:rsidP="00823388">
      <w:pPr>
        <w:pStyle w:val="BodyText"/>
        <w:rPr>
          <w:rFonts w:ascii="Arial" w:hAnsi="Arial" w:cs="Arial"/>
          <w:sz w:val="24"/>
          <w:szCs w:val="24"/>
        </w:rPr>
      </w:pPr>
      <w:r w:rsidRPr="00823388">
        <w:rPr>
          <w:rFonts w:ascii="Arial" w:hAnsi="Arial" w:cs="Arial"/>
          <w:sz w:val="24"/>
          <w:szCs w:val="24"/>
        </w:rPr>
        <w:t xml:space="preserve">In March 2026, male employees had </w:t>
      </w:r>
      <w:r w:rsidR="00600F63">
        <w:rPr>
          <w:rFonts w:ascii="Arial" w:hAnsi="Arial" w:cs="Arial"/>
          <w:sz w:val="24"/>
          <w:szCs w:val="24"/>
        </w:rPr>
        <w:t xml:space="preserve">a </w:t>
      </w:r>
      <w:r w:rsidRPr="00823388">
        <w:rPr>
          <w:rFonts w:ascii="Arial" w:hAnsi="Arial" w:cs="Arial"/>
          <w:sz w:val="24"/>
          <w:szCs w:val="24"/>
        </w:rPr>
        <w:t xml:space="preserve">higher mean and median hourly pay than female employees. </w:t>
      </w:r>
    </w:p>
    <w:p w14:paraId="3CBDFAA3" w14:textId="3AD0DB79" w:rsidR="00823388" w:rsidRDefault="00823388" w:rsidP="00600F63">
      <w:pPr>
        <w:pStyle w:val="BodyText"/>
        <w:rPr>
          <w:rFonts w:ascii="Arial" w:hAnsi="Arial" w:cs="Arial"/>
          <w:sz w:val="24"/>
          <w:szCs w:val="24"/>
        </w:rPr>
      </w:pPr>
      <w:r w:rsidRPr="00823388">
        <w:rPr>
          <w:rFonts w:ascii="Arial" w:hAnsi="Arial" w:cs="Arial"/>
          <w:sz w:val="24"/>
          <w:szCs w:val="24"/>
        </w:rPr>
        <w:t>On average, women earned 86.8p for every £1 earned by men, and at the median, women earned 95.3p for every £1 earned by men.</w:t>
      </w:r>
    </w:p>
    <w:p w14:paraId="2226650C" w14:textId="48627D8F" w:rsidR="0043780A" w:rsidRDefault="0043780A" w:rsidP="00600F63">
      <w:pPr>
        <w:pStyle w:val="BodyText"/>
        <w:rPr>
          <w:rFonts w:ascii="Arial" w:hAnsi="Arial" w:cs="Arial"/>
          <w:sz w:val="24"/>
          <w:szCs w:val="24"/>
        </w:rPr>
      </w:pPr>
      <w:r>
        <w:rPr>
          <w:rFonts w:ascii="Arial" w:hAnsi="Arial" w:cs="Arial"/>
          <w:sz w:val="24"/>
          <w:szCs w:val="24"/>
        </w:rPr>
        <w:lastRenderedPageBreak/>
        <w:t>By comparison in 2025, on average, women earned 13.9% less per hour than men and earned 95p for every £1 earned by men.</w:t>
      </w:r>
    </w:p>
    <w:p w14:paraId="11BCBCD1" w14:textId="558378F2" w:rsidR="000B78BB" w:rsidRPr="007D1350" w:rsidRDefault="007D1350" w:rsidP="007D1350">
      <w:pPr>
        <w:pStyle w:val="BodyText"/>
        <w:rPr>
          <w:rFonts w:ascii="Arial" w:hAnsi="Arial" w:cs="Arial"/>
          <w:sz w:val="24"/>
          <w:szCs w:val="24"/>
          <w:lang w:val="en-GB"/>
        </w:rPr>
      </w:pPr>
      <w:r w:rsidRPr="007D1350">
        <w:rPr>
          <w:rFonts w:ascii="Arial" w:hAnsi="Arial" w:cs="Arial"/>
          <w:sz w:val="24"/>
          <w:szCs w:val="24"/>
          <w:lang w:val="en-GB"/>
        </w:rPr>
        <w:t xml:space="preserve">The improvement in women’s average hourly pay </w:t>
      </w:r>
      <w:r>
        <w:rPr>
          <w:rFonts w:ascii="Arial" w:hAnsi="Arial" w:cs="Arial"/>
          <w:sz w:val="24"/>
          <w:szCs w:val="24"/>
          <w:lang w:val="en-GB"/>
        </w:rPr>
        <w:t xml:space="preserve">gap </w:t>
      </w:r>
      <w:r w:rsidR="004A63CF">
        <w:rPr>
          <w:rFonts w:ascii="Arial" w:hAnsi="Arial" w:cs="Arial"/>
          <w:sz w:val="24"/>
          <w:szCs w:val="24"/>
          <w:lang w:val="en-GB"/>
        </w:rPr>
        <w:t xml:space="preserve">either </w:t>
      </w:r>
      <w:proofErr w:type="gramStart"/>
      <w:r w:rsidRPr="007D1350">
        <w:rPr>
          <w:rFonts w:ascii="Arial" w:hAnsi="Arial" w:cs="Arial"/>
          <w:sz w:val="24"/>
          <w:szCs w:val="24"/>
          <w:lang w:val="en-GB"/>
        </w:rPr>
        <w:t>reflects</w:t>
      </w:r>
      <w:r w:rsidR="004A63CF">
        <w:rPr>
          <w:rFonts w:ascii="Arial" w:hAnsi="Arial" w:cs="Arial"/>
          <w:sz w:val="24"/>
          <w:szCs w:val="24"/>
          <w:lang w:val="en-GB"/>
        </w:rPr>
        <w:t>:</w:t>
      </w:r>
      <w:proofErr w:type="gramEnd"/>
      <w:r w:rsidRPr="007D1350">
        <w:rPr>
          <w:rFonts w:ascii="Arial" w:hAnsi="Arial" w:cs="Arial"/>
          <w:sz w:val="24"/>
          <w:szCs w:val="24"/>
          <w:lang w:val="en-GB"/>
        </w:rPr>
        <w:t xml:space="preserve"> increasing female representation in higher</w:t>
      </w:r>
      <w:r w:rsidRPr="007D1350">
        <w:rPr>
          <w:rFonts w:ascii="Arial" w:hAnsi="Arial" w:cs="Arial"/>
          <w:sz w:val="24"/>
          <w:szCs w:val="24"/>
          <w:lang w:val="en-GB"/>
        </w:rPr>
        <w:noBreakHyphen/>
        <w:t>paid roles</w:t>
      </w:r>
      <w:r w:rsidR="004A63CF">
        <w:rPr>
          <w:rFonts w:ascii="Arial" w:hAnsi="Arial" w:cs="Arial"/>
          <w:sz w:val="24"/>
          <w:szCs w:val="24"/>
          <w:lang w:val="en-GB"/>
        </w:rPr>
        <w:t>;</w:t>
      </w:r>
      <w:r>
        <w:rPr>
          <w:rFonts w:ascii="Arial" w:hAnsi="Arial" w:cs="Arial"/>
          <w:sz w:val="24"/>
          <w:szCs w:val="24"/>
          <w:lang w:val="en-GB"/>
        </w:rPr>
        <w:t xml:space="preserve"> </w:t>
      </w:r>
      <w:r w:rsidR="004A63CF">
        <w:rPr>
          <w:rFonts w:ascii="Arial" w:hAnsi="Arial" w:cs="Arial"/>
          <w:sz w:val="24"/>
          <w:szCs w:val="24"/>
          <w:lang w:val="en-GB"/>
        </w:rPr>
        <w:t xml:space="preserve">or that those undertaking higher paid roles are receiving higher rates of pay, </w:t>
      </w:r>
      <w:r>
        <w:rPr>
          <w:rFonts w:ascii="Arial" w:hAnsi="Arial" w:cs="Arial"/>
          <w:sz w:val="24"/>
          <w:szCs w:val="24"/>
          <w:lang w:val="en-GB"/>
        </w:rPr>
        <w:t xml:space="preserve">as </w:t>
      </w:r>
      <w:r w:rsidR="004A63CF">
        <w:rPr>
          <w:rFonts w:ascii="Arial" w:hAnsi="Arial" w:cs="Arial"/>
          <w:sz w:val="24"/>
          <w:szCs w:val="24"/>
          <w:lang w:val="en-GB"/>
        </w:rPr>
        <w:t>either</w:t>
      </w:r>
      <w:r>
        <w:rPr>
          <w:rFonts w:ascii="Arial" w:hAnsi="Arial" w:cs="Arial"/>
          <w:sz w:val="24"/>
          <w:szCs w:val="24"/>
          <w:lang w:val="en-GB"/>
        </w:rPr>
        <w:t xml:space="preserve"> </w:t>
      </w:r>
      <w:r w:rsidR="004A63CF">
        <w:rPr>
          <w:rFonts w:ascii="Arial" w:hAnsi="Arial" w:cs="Arial"/>
          <w:sz w:val="24"/>
          <w:szCs w:val="24"/>
          <w:lang w:val="en-GB"/>
        </w:rPr>
        <w:t xml:space="preserve">scenario will </w:t>
      </w:r>
      <w:r>
        <w:rPr>
          <w:rFonts w:ascii="Arial" w:hAnsi="Arial" w:cs="Arial"/>
          <w:sz w:val="24"/>
          <w:szCs w:val="24"/>
          <w:lang w:val="en-GB"/>
        </w:rPr>
        <w:t>influence the average hourly rate</w:t>
      </w:r>
      <w:r w:rsidRPr="007D1350">
        <w:rPr>
          <w:rFonts w:ascii="Arial" w:hAnsi="Arial" w:cs="Arial"/>
          <w:sz w:val="24"/>
          <w:szCs w:val="24"/>
          <w:lang w:val="en-GB"/>
        </w:rPr>
        <w:t>.</w:t>
      </w:r>
      <w:r w:rsidR="004A63CF">
        <w:rPr>
          <w:rFonts w:ascii="Arial" w:hAnsi="Arial" w:cs="Arial"/>
          <w:sz w:val="24"/>
          <w:szCs w:val="24"/>
          <w:lang w:val="en-GB"/>
        </w:rPr>
        <w:t xml:space="preserve"> T</w:t>
      </w:r>
      <w:r w:rsidRPr="007D1350">
        <w:rPr>
          <w:rFonts w:ascii="Arial" w:hAnsi="Arial" w:cs="Arial"/>
          <w:sz w:val="24"/>
          <w:szCs w:val="24"/>
          <w:lang w:val="en-GB"/>
        </w:rPr>
        <w:t xml:space="preserve">he </w:t>
      </w:r>
      <w:r>
        <w:rPr>
          <w:rFonts w:ascii="Arial" w:hAnsi="Arial" w:cs="Arial"/>
          <w:sz w:val="24"/>
          <w:szCs w:val="24"/>
          <w:lang w:val="en-GB"/>
        </w:rPr>
        <w:t xml:space="preserve">broadly </w:t>
      </w:r>
      <w:r w:rsidRPr="007D1350">
        <w:rPr>
          <w:rFonts w:ascii="Arial" w:hAnsi="Arial" w:cs="Arial"/>
          <w:sz w:val="24"/>
          <w:szCs w:val="24"/>
          <w:lang w:val="en-GB"/>
        </w:rPr>
        <w:t>unchanged median gap indicates that typical pay outcomes for women relative to men have remained stable</w:t>
      </w:r>
      <w:r>
        <w:rPr>
          <w:rFonts w:ascii="Arial" w:hAnsi="Arial" w:cs="Arial"/>
          <w:sz w:val="24"/>
          <w:szCs w:val="24"/>
          <w:lang w:val="en-GB"/>
        </w:rPr>
        <w:t xml:space="preserve">. </w:t>
      </w:r>
      <w:r w:rsidR="000B78BB" w:rsidRPr="00823388">
        <w:rPr>
          <w:rFonts w:ascii="Arial" w:hAnsi="Arial" w:cs="Arial"/>
          <w:sz w:val="24"/>
          <w:szCs w:val="24"/>
        </w:rPr>
        <w:t xml:space="preserve">That pattern is consistent with national pay bands </w:t>
      </w:r>
      <w:r>
        <w:rPr>
          <w:rFonts w:ascii="Arial" w:hAnsi="Arial" w:cs="Arial"/>
          <w:sz w:val="24"/>
          <w:szCs w:val="24"/>
        </w:rPr>
        <w:t xml:space="preserve">which </w:t>
      </w:r>
      <w:r w:rsidR="000B78BB" w:rsidRPr="00823388">
        <w:rPr>
          <w:rFonts w:ascii="Arial" w:hAnsi="Arial" w:cs="Arial"/>
          <w:sz w:val="24"/>
          <w:szCs w:val="24"/>
        </w:rPr>
        <w:t>help keep pay aligned across comparable roles.</w:t>
      </w:r>
      <w:r>
        <w:rPr>
          <w:rFonts w:ascii="Arial" w:hAnsi="Arial" w:cs="Arial"/>
          <w:sz w:val="24"/>
          <w:szCs w:val="24"/>
        </w:rPr>
        <w:t xml:space="preserve"> </w:t>
      </w:r>
    </w:p>
    <w:p w14:paraId="47AE2324" w14:textId="7E22B035" w:rsidR="000659A1" w:rsidRPr="00F905D1" w:rsidRDefault="000659A1" w:rsidP="00F905D1">
      <w:pPr>
        <w:pStyle w:val="ListParagraph"/>
        <w:numPr>
          <w:ilvl w:val="1"/>
          <w:numId w:val="1"/>
        </w:numPr>
        <w:rPr>
          <w:rFonts w:ascii="Arial" w:hAnsi="Arial" w:cs="Arial"/>
        </w:rPr>
      </w:pPr>
      <w:r w:rsidRPr="00F905D1">
        <w:rPr>
          <w:rFonts w:ascii="Arial" w:hAnsi="Arial" w:cs="Arial"/>
          <w:b/>
          <w:bCs/>
        </w:rPr>
        <w:t>Gender distribution by pay quartile</w:t>
      </w:r>
      <w:r w:rsidR="00EE60C0" w:rsidRPr="00F905D1">
        <w:rPr>
          <w:rFonts w:ascii="Arial" w:hAnsi="Arial" w:cs="Arial"/>
        </w:rPr>
        <w:t xml:space="preserve"> </w:t>
      </w:r>
    </w:p>
    <w:p w14:paraId="706F05AB" w14:textId="743CE28C" w:rsidR="000659A1" w:rsidRPr="0043780A" w:rsidRDefault="000659A1" w:rsidP="000659A1">
      <w:pPr>
        <w:pStyle w:val="BodyText"/>
        <w:rPr>
          <w:rFonts w:ascii="Arial" w:hAnsi="Arial" w:cs="Arial"/>
          <w:sz w:val="24"/>
          <w:szCs w:val="24"/>
        </w:rPr>
      </w:pPr>
      <w:r w:rsidRPr="0043780A">
        <w:rPr>
          <w:rFonts w:ascii="Arial" w:hAnsi="Arial" w:cs="Arial"/>
          <w:sz w:val="24"/>
          <w:szCs w:val="24"/>
        </w:rPr>
        <w:t xml:space="preserve">The quartile analysis below shows how men and women are distributed across the pay range. </w:t>
      </w:r>
      <w:r w:rsidRPr="000659A1">
        <w:rPr>
          <w:rFonts w:ascii="Arial" w:hAnsi="Arial" w:cs="Arial"/>
          <w:sz w:val="24"/>
          <w:szCs w:val="24"/>
          <w:lang w:val="en-GB"/>
        </w:rPr>
        <w:t>Pay quarters give an indication of women's representation at different levels of the organisation.</w:t>
      </w:r>
    </w:p>
    <w:tbl>
      <w:tblPr>
        <w:tblW w:w="0" w:type="auto"/>
        <w:jc w:val="center"/>
        <w:tblLayout w:type="fixed"/>
        <w:tblLook w:val="04A0" w:firstRow="1" w:lastRow="0" w:firstColumn="1" w:lastColumn="0" w:noHBand="0" w:noVBand="1"/>
      </w:tblPr>
      <w:tblGrid>
        <w:gridCol w:w="3096"/>
        <w:gridCol w:w="1584"/>
        <w:gridCol w:w="1440"/>
        <w:gridCol w:w="1584"/>
        <w:gridCol w:w="1440"/>
      </w:tblGrid>
      <w:tr w:rsidR="000659A1" w14:paraId="1E35E0BA" w14:textId="77777777" w:rsidTr="00491252">
        <w:trPr>
          <w:jc w:val="center"/>
        </w:trPr>
        <w:tc>
          <w:tcPr>
            <w:tcW w:w="3096" w:type="dxa"/>
            <w:shd w:val="clear" w:color="auto" w:fill="005EB8"/>
            <w:vAlign w:val="center"/>
          </w:tcPr>
          <w:p w14:paraId="6E396628" w14:textId="77777777" w:rsidR="000659A1" w:rsidRDefault="000659A1" w:rsidP="00491252">
            <w:pPr>
              <w:jc w:val="center"/>
            </w:pPr>
            <w:r>
              <w:rPr>
                <w:b/>
                <w:color w:val="FFFFFF"/>
              </w:rPr>
              <w:t>Quartile</w:t>
            </w:r>
          </w:p>
        </w:tc>
        <w:tc>
          <w:tcPr>
            <w:tcW w:w="1584" w:type="dxa"/>
            <w:shd w:val="clear" w:color="auto" w:fill="005EB8"/>
            <w:vAlign w:val="center"/>
          </w:tcPr>
          <w:p w14:paraId="2B11023F" w14:textId="77777777" w:rsidR="000659A1" w:rsidRDefault="000659A1" w:rsidP="00491252">
            <w:pPr>
              <w:jc w:val="center"/>
            </w:pPr>
            <w:r>
              <w:rPr>
                <w:b/>
                <w:color w:val="FFFFFF"/>
              </w:rPr>
              <w:t>Female n</w:t>
            </w:r>
          </w:p>
        </w:tc>
        <w:tc>
          <w:tcPr>
            <w:tcW w:w="1440" w:type="dxa"/>
            <w:shd w:val="clear" w:color="auto" w:fill="005EB8"/>
            <w:vAlign w:val="center"/>
          </w:tcPr>
          <w:p w14:paraId="468FEC26" w14:textId="77777777" w:rsidR="000659A1" w:rsidRDefault="000659A1" w:rsidP="00491252">
            <w:pPr>
              <w:jc w:val="center"/>
            </w:pPr>
            <w:r>
              <w:rPr>
                <w:b/>
                <w:color w:val="FFFFFF"/>
              </w:rPr>
              <w:t>Female %</w:t>
            </w:r>
          </w:p>
        </w:tc>
        <w:tc>
          <w:tcPr>
            <w:tcW w:w="1584" w:type="dxa"/>
            <w:shd w:val="clear" w:color="auto" w:fill="005EB8"/>
            <w:vAlign w:val="center"/>
          </w:tcPr>
          <w:p w14:paraId="1A634FAA" w14:textId="77777777" w:rsidR="000659A1" w:rsidRDefault="000659A1" w:rsidP="00491252">
            <w:pPr>
              <w:jc w:val="center"/>
            </w:pPr>
            <w:r>
              <w:rPr>
                <w:b/>
                <w:color w:val="FFFFFF"/>
              </w:rPr>
              <w:t>Male n</w:t>
            </w:r>
          </w:p>
        </w:tc>
        <w:tc>
          <w:tcPr>
            <w:tcW w:w="1440" w:type="dxa"/>
            <w:shd w:val="clear" w:color="auto" w:fill="005EB8"/>
            <w:vAlign w:val="center"/>
          </w:tcPr>
          <w:p w14:paraId="6EF3E8C6" w14:textId="77777777" w:rsidR="000659A1" w:rsidRDefault="000659A1" w:rsidP="00491252">
            <w:pPr>
              <w:jc w:val="center"/>
            </w:pPr>
            <w:r>
              <w:rPr>
                <w:b/>
                <w:color w:val="FFFFFF"/>
              </w:rPr>
              <w:t>Male %</w:t>
            </w:r>
          </w:p>
        </w:tc>
      </w:tr>
      <w:tr w:rsidR="000659A1" w14:paraId="5D1F178F" w14:textId="77777777" w:rsidTr="00491252">
        <w:trPr>
          <w:jc w:val="center"/>
        </w:trPr>
        <w:tc>
          <w:tcPr>
            <w:tcW w:w="3096" w:type="dxa"/>
            <w:tcBorders>
              <w:top w:val="single" w:sz="6" w:space="0" w:color="D9E1F2"/>
              <w:left w:val="single" w:sz="6" w:space="0" w:color="D9E1F2"/>
              <w:bottom w:val="single" w:sz="6" w:space="0" w:color="D9E1F2"/>
              <w:right w:val="single" w:sz="6" w:space="0" w:color="D9E1F2"/>
            </w:tcBorders>
            <w:shd w:val="clear" w:color="auto" w:fill="F7FBFF"/>
            <w:vAlign w:val="center"/>
          </w:tcPr>
          <w:p w14:paraId="13FB0F86" w14:textId="77777777" w:rsidR="000659A1" w:rsidRDefault="000659A1" w:rsidP="00491252">
            <w:r>
              <w:rPr>
                <w:b/>
                <w:color w:val="000000"/>
              </w:rPr>
              <w:t>Lower quartile</w:t>
            </w:r>
          </w:p>
        </w:tc>
        <w:tc>
          <w:tcPr>
            <w:tcW w:w="1584" w:type="dxa"/>
            <w:tcBorders>
              <w:top w:val="single" w:sz="6" w:space="0" w:color="D9E1F2"/>
              <w:left w:val="single" w:sz="6" w:space="0" w:color="D9E1F2"/>
              <w:bottom w:val="single" w:sz="6" w:space="0" w:color="D9E1F2"/>
              <w:right w:val="single" w:sz="6" w:space="0" w:color="D9E1F2"/>
            </w:tcBorders>
            <w:shd w:val="clear" w:color="auto" w:fill="F7FBFF"/>
            <w:vAlign w:val="center"/>
          </w:tcPr>
          <w:p w14:paraId="218F33E4" w14:textId="77777777" w:rsidR="000659A1" w:rsidRDefault="000659A1" w:rsidP="00491252">
            <w:pPr>
              <w:jc w:val="center"/>
            </w:pPr>
            <w:r>
              <w:rPr>
                <w:color w:val="000000"/>
              </w:rPr>
              <w:t>1,172</w:t>
            </w:r>
          </w:p>
        </w:tc>
        <w:tc>
          <w:tcPr>
            <w:tcW w:w="1440" w:type="dxa"/>
            <w:tcBorders>
              <w:top w:val="single" w:sz="6" w:space="0" w:color="D9E1F2"/>
              <w:left w:val="single" w:sz="6" w:space="0" w:color="D9E1F2"/>
              <w:bottom w:val="single" w:sz="6" w:space="0" w:color="D9E1F2"/>
              <w:right w:val="single" w:sz="6" w:space="0" w:color="D9E1F2"/>
            </w:tcBorders>
            <w:shd w:val="clear" w:color="auto" w:fill="F7FBFF"/>
            <w:vAlign w:val="center"/>
          </w:tcPr>
          <w:p w14:paraId="0DC66BC0" w14:textId="77777777" w:rsidR="000659A1" w:rsidRDefault="000659A1" w:rsidP="00491252">
            <w:pPr>
              <w:jc w:val="center"/>
            </w:pPr>
            <w:r>
              <w:rPr>
                <w:color w:val="000000"/>
              </w:rPr>
              <w:t>79.9%</w:t>
            </w:r>
          </w:p>
        </w:tc>
        <w:tc>
          <w:tcPr>
            <w:tcW w:w="1584" w:type="dxa"/>
            <w:tcBorders>
              <w:top w:val="single" w:sz="6" w:space="0" w:color="D9E1F2"/>
              <w:left w:val="single" w:sz="6" w:space="0" w:color="D9E1F2"/>
              <w:bottom w:val="single" w:sz="6" w:space="0" w:color="D9E1F2"/>
              <w:right w:val="single" w:sz="6" w:space="0" w:color="D9E1F2"/>
            </w:tcBorders>
            <w:shd w:val="clear" w:color="auto" w:fill="F7FBFF"/>
            <w:vAlign w:val="center"/>
          </w:tcPr>
          <w:p w14:paraId="102067E4" w14:textId="77777777" w:rsidR="000659A1" w:rsidRDefault="000659A1" w:rsidP="00491252">
            <w:pPr>
              <w:jc w:val="center"/>
            </w:pPr>
            <w:r>
              <w:rPr>
                <w:color w:val="000000"/>
              </w:rPr>
              <w:t>295</w:t>
            </w:r>
          </w:p>
        </w:tc>
        <w:tc>
          <w:tcPr>
            <w:tcW w:w="1440" w:type="dxa"/>
            <w:tcBorders>
              <w:top w:val="single" w:sz="6" w:space="0" w:color="D9E1F2"/>
              <w:left w:val="single" w:sz="6" w:space="0" w:color="D9E1F2"/>
              <w:bottom w:val="single" w:sz="6" w:space="0" w:color="D9E1F2"/>
              <w:right w:val="single" w:sz="6" w:space="0" w:color="D9E1F2"/>
            </w:tcBorders>
            <w:shd w:val="clear" w:color="auto" w:fill="F7FBFF"/>
            <w:vAlign w:val="center"/>
          </w:tcPr>
          <w:p w14:paraId="463E3FB7" w14:textId="77777777" w:rsidR="000659A1" w:rsidRDefault="000659A1" w:rsidP="00491252">
            <w:pPr>
              <w:jc w:val="center"/>
            </w:pPr>
            <w:r>
              <w:rPr>
                <w:color w:val="000000"/>
              </w:rPr>
              <w:t>20.1%</w:t>
            </w:r>
          </w:p>
        </w:tc>
      </w:tr>
      <w:tr w:rsidR="000659A1" w14:paraId="72D4CCA5" w14:textId="77777777" w:rsidTr="00491252">
        <w:trPr>
          <w:jc w:val="center"/>
        </w:trPr>
        <w:tc>
          <w:tcPr>
            <w:tcW w:w="3096" w:type="dxa"/>
            <w:tcBorders>
              <w:top w:val="single" w:sz="6" w:space="0" w:color="D9E1F2"/>
              <w:left w:val="single" w:sz="6" w:space="0" w:color="D9E1F2"/>
              <w:bottom w:val="single" w:sz="6" w:space="0" w:color="D9E1F2"/>
              <w:right w:val="single" w:sz="6" w:space="0" w:color="D9E1F2"/>
            </w:tcBorders>
            <w:vAlign w:val="center"/>
          </w:tcPr>
          <w:p w14:paraId="0CD7BF1D" w14:textId="77777777" w:rsidR="000659A1" w:rsidRDefault="000659A1" w:rsidP="00491252">
            <w:r>
              <w:rPr>
                <w:b/>
                <w:color w:val="000000"/>
              </w:rPr>
              <w:t>Lower middle quartile</w:t>
            </w:r>
          </w:p>
        </w:tc>
        <w:tc>
          <w:tcPr>
            <w:tcW w:w="1584" w:type="dxa"/>
            <w:tcBorders>
              <w:top w:val="single" w:sz="6" w:space="0" w:color="D9E1F2"/>
              <w:left w:val="single" w:sz="6" w:space="0" w:color="D9E1F2"/>
              <w:bottom w:val="single" w:sz="6" w:space="0" w:color="D9E1F2"/>
              <w:right w:val="single" w:sz="6" w:space="0" w:color="D9E1F2"/>
            </w:tcBorders>
            <w:vAlign w:val="center"/>
          </w:tcPr>
          <w:p w14:paraId="4BCB802B" w14:textId="77777777" w:rsidR="000659A1" w:rsidRDefault="000659A1" w:rsidP="00491252">
            <w:pPr>
              <w:jc w:val="center"/>
            </w:pPr>
            <w:r>
              <w:rPr>
                <w:color w:val="000000"/>
              </w:rPr>
              <w:t>1,106</w:t>
            </w:r>
          </w:p>
        </w:tc>
        <w:tc>
          <w:tcPr>
            <w:tcW w:w="1440" w:type="dxa"/>
            <w:tcBorders>
              <w:top w:val="single" w:sz="6" w:space="0" w:color="D9E1F2"/>
              <w:left w:val="single" w:sz="6" w:space="0" w:color="D9E1F2"/>
              <w:bottom w:val="single" w:sz="6" w:space="0" w:color="D9E1F2"/>
              <w:right w:val="single" w:sz="6" w:space="0" w:color="D9E1F2"/>
            </w:tcBorders>
            <w:vAlign w:val="center"/>
          </w:tcPr>
          <w:p w14:paraId="5900DA25" w14:textId="77777777" w:rsidR="000659A1" w:rsidRDefault="000659A1" w:rsidP="00491252">
            <w:pPr>
              <w:jc w:val="center"/>
            </w:pPr>
            <w:r>
              <w:rPr>
                <w:color w:val="000000"/>
              </w:rPr>
              <w:t>75.3%</w:t>
            </w:r>
          </w:p>
        </w:tc>
        <w:tc>
          <w:tcPr>
            <w:tcW w:w="1584" w:type="dxa"/>
            <w:tcBorders>
              <w:top w:val="single" w:sz="6" w:space="0" w:color="D9E1F2"/>
              <w:left w:val="single" w:sz="6" w:space="0" w:color="D9E1F2"/>
              <w:bottom w:val="single" w:sz="6" w:space="0" w:color="D9E1F2"/>
              <w:right w:val="single" w:sz="6" w:space="0" w:color="D9E1F2"/>
            </w:tcBorders>
            <w:vAlign w:val="center"/>
          </w:tcPr>
          <w:p w14:paraId="10BDA632" w14:textId="77777777" w:rsidR="000659A1" w:rsidRDefault="000659A1" w:rsidP="00491252">
            <w:pPr>
              <w:jc w:val="center"/>
            </w:pPr>
            <w:r>
              <w:rPr>
                <w:color w:val="000000"/>
              </w:rPr>
              <w:t>362</w:t>
            </w:r>
          </w:p>
        </w:tc>
        <w:tc>
          <w:tcPr>
            <w:tcW w:w="1440" w:type="dxa"/>
            <w:tcBorders>
              <w:top w:val="single" w:sz="6" w:space="0" w:color="D9E1F2"/>
              <w:left w:val="single" w:sz="6" w:space="0" w:color="D9E1F2"/>
              <w:bottom w:val="single" w:sz="6" w:space="0" w:color="D9E1F2"/>
              <w:right w:val="single" w:sz="6" w:space="0" w:color="D9E1F2"/>
            </w:tcBorders>
            <w:vAlign w:val="center"/>
          </w:tcPr>
          <w:p w14:paraId="569D7D17" w14:textId="77777777" w:rsidR="000659A1" w:rsidRDefault="000659A1" w:rsidP="00491252">
            <w:pPr>
              <w:jc w:val="center"/>
            </w:pPr>
            <w:r>
              <w:rPr>
                <w:color w:val="000000"/>
              </w:rPr>
              <w:t>24.7%</w:t>
            </w:r>
          </w:p>
        </w:tc>
      </w:tr>
      <w:tr w:rsidR="000659A1" w14:paraId="33CE01CA" w14:textId="77777777" w:rsidTr="00491252">
        <w:trPr>
          <w:jc w:val="center"/>
        </w:trPr>
        <w:tc>
          <w:tcPr>
            <w:tcW w:w="3096" w:type="dxa"/>
            <w:tcBorders>
              <w:top w:val="single" w:sz="6" w:space="0" w:color="D9E1F2"/>
              <w:left w:val="single" w:sz="6" w:space="0" w:color="D9E1F2"/>
              <w:bottom w:val="single" w:sz="6" w:space="0" w:color="D9E1F2"/>
              <w:right w:val="single" w:sz="6" w:space="0" w:color="D9E1F2"/>
            </w:tcBorders>
            <w:shd w:val="clear" w:color="auto" w:fill="F7FBFF"/>
            <w:vAlign w:val="center"/>
          </w:tcPr>
          <w:p w14:paraId="68BBC85B" w14:textId="77777777" w:rsidR="000659A1" w:rsidRDefault="000659A1" w:rsidP="00491252">
            <w:r>
              <w:rPr>
                <w:b/>
                <w:color w:val="000000"/>
              </w:rPr>
              <w:t>Upper middle quartile</w:t>
            </w:r>
          </w:p>
        </w:tc>
        <w:tc>
          <w:tcPr>
            <w:tcW w:w="1584" w:type="dxa"/>
            <w:tcBorders>
              <w:top w:val="single" w:sz="6" w:space="0" w:color="D9E1F2"/>
              <w:left w:val="single" w:sz="6" w:space="0" w:color="D9E1F2"/>
              <w:bottom w:val="single" w:sz="6" w:space="0" w:color="D9E1F2"/>
              <w:right w:val="single" w:sz="6" w:space="0" w:color="D9E1F2"/>
            </w:tcBorders>
            <w:shd w:val="clear" w:color="auto" w:fill="F7FBFF"/>
            <w:vAlign w:val="center"/>
          </w:tcPr>
          <w:p w14:paraId="070232FD" w14:textId="77777777" w:rsidR="000659A1" w:rsidRDefault="000659A1" w:rsidP="00491252">
            <w:pPr>
              <w:jc w:val="center"/>
            </w:pPr>
            <w:r>
              <w:rPr>
                <w:color w:val="000000"/>
              </w:rPr>
              <w:t>1,096</w:t>
            </w:r>
          </w:p>
        </w:tc>
        <w:tc>
          <w:tcPr>
            <w:tcW w:w="1440" w:type="dxa"/>
            <w:tcBorders>
              <w:top w:val="single" w:sz="6" w:space="0" w:color="D9E1F2"/>
              <w:left w:val="single" w:sz="6" w:space="0" w:color="D9E1F2"/>
              <w:bottom w:val="single" w:sz="6" w:space="0" w:color="D9E1F2"/>
              <w:right w:val="single" w:sz="6" w:space="0" w:color="D9E1F2"/>
            </w:tcBorders>
            <w:shd w:val="clear" w:color="auto" w:fill="F7FBFF"/>
            <w:vAlign w:val="center"/>
          </w:tcPr>
          <w:p w14:paraId="7A6AC4E9" w14:textId="77777777" w:rsidR="000659A1" w:rsidRDefault="000659A1" w:rsidP="00491252">
            <w:pPr>
              <w:jc w:val="center"/>
            </w:pPr>
            <w:r>
              <w:rPr>
                <w:color w:val="000000"/>
              </w:rPr>
              <w:t>76.6%</w:t>
            </w:r>
          </w:p>
        </w:tc>
        <w:tc>
          <w:tcPr>
            <w:tcW w:w="1584" w:type="dxa"/>
            <w:tcBorders>
              <w:top w:val="single" w:sz="6" w:space="0" w:color="D9E1F2"/>
              <w:left w:val="single" w:sz="6" w:space="0" w:color="D9E1F2"/>
              <w:bottom w:val="single" w:sz="6" w:space="0" w:color="D9E1F2"/>
              <w:right w:val="single" w:sz="6" w:space="0" w:color="D9E1F2"/>
            </w:tcBorders>
            <w:shd w:val="clear" w:color="auto" w:fill="F7FBFF"/>
            <w:vAlign w:val="center"/>
          </w:tcPr>
          <w:p w14:paraId="6D1116E7" w14:textId="77777777" w:rsidR="000659A1" w:rsidRDefault="000659A1" w:rsidP="00491252">
            <w:pPr>
              <w:jc w:val="center"/>
            </w:pPr>
            <w:r>
              <w:rPr>
                <w:color w:val="000000"/>
              </w:rPr>
              <w:t>335</w:t>
            </w:r>
          </w:p>
        </w:tc>
        <w:tc>
          <w:tcPr>
            <w:tcW w:w="1440" w:type="dxa"/>
            <w:tcBorders>
              <w:top w:val="single" w:sz="6" w:space="0" w:color="D9E1F2"/>
              <w:left w:val="single" w:sz="6" w:space="0" w:color="D9E1F2"/>
              <w:bottom w:val="single" w:sz="6" w:space="0" w:color="D9E1F2"/>
              <w:right w:val="single" w:sz="6" w:space="0" w:color="D9E1F2"/>
            </w:tcBorders>
            <w:shd w:val="clear" w:color="auto" w:fill="F7FBFF"/>
            <w:vAlign w:val="center"/>
          </w:tcPr>
          <w:p w14:paraId="43A88A4A" w14:textId="77777777" w:rsidR="000659A1" w:rsidRDefault="000659A1" w:rsidP="00491252">
            <w:pPr>
              <w:jc w:val="center"/>
            </w:pPr>
            <w:r>
              <w:rPr>
                <w:color w:val="000000"/>
              </w:rPr>
              <w:t>23.4%</w:t>
            </w:r>
          </w:p>
        </w:tc>
      </w:tr>
      <w:tr w:rsidR="000659A1" w14:paraId="1009D2AE" w14:textId="77777777" w:rsidTr="00491252">
        <w:trPr>
          <w:jc w:val="center"/>
        </w:trPr>
        <w:tc>
          <w:tcPr>
            <w:tcW w:w="3096" w:type="dxa"/>
            <w:tcBorders>
              <w:top w:val="single" w:sz="6" w:space="0" w:color="D9E1F2"/>
              <w:left w:val="single" w:sz="6" w:space="0" w:color="D9E1F2"/>
              <w:bottom w:val="single" w:sz="6" w:space="0" w:color="D9E1F2"/>
              <w:right w:val="single" w:sz="6" w:space="0" w:color="D9E1F2"/>
            </w:tcBorders>
            <w:vAlign w:val="center"/>
          </w:tcPr>
          <w:p w14:paraId="0127721C" w14:textId="77777777" w:rsidR="000659A1" w:rsidRDefault="000659A1" w:rsidP="00491252">
            <w:r>
              <w:rPr>
                <w:b/>
                <w:color w:val="000000"/>
              </w:rPr>
              <w:t>Upper quartile</w:t>
            </w:r>
          </w:p>
        </w:tc>
        <w:tc>
          <w:tcPr>
            <w:tcW w:w="1584" w:type="dxa"/>
            <w:tcBorders>
              <w:top w:val="single" w:sz="6" w:space="0" w:color="D9E1F2"/>
              <w:left w:val="single" w:sz="6" w:space="0" w:color="D9E1F2"/>
              <w:bottom w:val="single" w:sz="6" w:space="0" w:color="D9E1F2"/>
              <w:right w:val="single" w:sz="6" w:space="0" w:color="D9E1F2"/>
            </w:tcBorders>
            <w:vAlign w:val="center"/>
          </w:tcPr>
          <w:p w14:paraId="615159D6" w14:textId="77777777" w:rsidR="000659A1" w:rsidRDefault="000659A1" w:rsidP="00491252">
            <w:pPr>
              <w:jc w:val="center"/>
            </w:pPr>
            <w:r>
              <w:rPr>
                <w:color w:val="000000"/>
              </w:rPr>
              <w:t>1,061</w:t>
            </w:r>
          </w:p>
        </w:tc>
        <w:tc>
          <w:tcPr>
            <w:tcW w:w="1440" w:type="dxa"/>
            <w:tcBorders>
              <w:top w:val="single" w:sz="6" w:space="0" w:color="D9E1F2"/>
              <w:left w:val="single" w:sz="6" w:space="0" w:color="D9E1F2"/>
              <w:bottom w:val="single" w:sz="6" w:space="0" w:color="D9E1F2"/>
              <w:right w:val="single" w:sz="6" w:space="0" w:color="D9E1F2"/>
            </w:tcBorders>
            <w:vAlign w:val="center"/>
          </w:tcPr>
          <w:p w14:paraId="08F05365" w14:textId="77777777" w:rsidR="000659A1" w:rsidRDefault="000659A1" w:rsidP="00491252">
            <w:pPr>
              <w:jc w:val="center"/>
            </w:pPr>
            <w:r>
              <w:rPr>
                <w:color w:val="000000"/>
              </w:rPr>
              <w:t>70.5%</w:t>
            </w:r>
          </w:p>
        </w:tc>
        <w:tc>
          <w:tcPr>
            <w:tcW w:w="1584" w:type="dxa"/>
            <w:tcBorders>
              <w:top w:val="single" w:sz="6" w:space="0" w:color="D9E1F2"/>
              <w:left w:val="single" w:sz="6" w:space="0" w:color="D9E1F2"/>
              <w:bottom w:val="single" w:sz="6" w:space="0" w:color="D9E1F2"/>
              <w:right w:val="single" w:sz="6" w:space="0" w:color="D9E1F2"/>
            </w:tcBorders>
            <w:vAlign w:val="center"/>
          </w:tcPr>
          <w:p w14:paraId="06BBF0CF" w14:textId="77777777" w:rsidR="000659A1" w:rsidRDefault="000659A1" w:rsidP="00491252">
            <w:pPr>
              <w:jc w:val="center"/>
            </w:pPr>
            <w:r>
              <w:rPr>
                <w:color w:val="000000"/>
              </w:rPr>
              <w:t>444</w:t>
            </w:r>
          </w:p>
        </w:tc>
        <w:tc>
          <w:tcPr>
            <w:tcW w:w="1440" w:type="dxa"/>
            <w:tcBorders>
              <w:top w:val="single" w:sz="6" w:space="0" w:color="D9E1F2"/>
              <w:left w:val="single" w:sz="6" w:space="0" w:color="D9E1F2"/>
              <w:bottom w:val="single" w:sz="6" w:space="0" w:color="D9E1F2"/>
              <w:right w:val="single" w:sz="6" w:space="0" w:color="D9E1F2"/>
            </w:tcBorders>
            <w:vAlign w:val="center"/>
          </w:tcPr>
          <w:p w14:paraId="7311E1A1" w14:textId="77777777" w:rsidR="000659A1" w:rsidRDefault="000659A1" w:rsidP="00491252">
            <w:pPr>
              <w:jc w:val="center"/>
            </w:pPr>
            <w:r>
              <w:rPr>
                <w:color w:val="000000"/>
              </w:rPr>
              <w:t>29.5%</w:t>
            </w:r>
          </w:p>
        </w:tc>
      </w:tr>
    </w:tbl>
    <w:p w14:paraId="0D722E83" w14:textId="77777777" w:rsidR="000659A1" w:rsidRDefault="000659A1" w:rsidP="00EE60C0">
      <w:pPr>
        <w:pStyle w:val="ListParagraph"/>
        <w:rPr>
          <w:rFonts w:ascii="Arial" w:hAnsi="Arial" w:cs="Arial"/>
        </w:rPr>
      </w:pPr>
    </w:p>
    <w:p w14:paraId="7A7E6F77" w14:textId="14F41E58" w:rsidR="004A63CF" w:rsidRPr="004A63CF" w:rsidRDefault="004A63CF" w:rsidP="004A63CF">
      <w:pPr>
        <w:rPr>
          <w:rFonts w:ascii="Arial" w:hAnsi="Arial" w:cs="Arial"/>
        </w:rPr>
      </w:pPr>
      <w:r w:rsidRPr="0043780A">
        <w:rPr>
          <w:rFonts w:ascii="Arial" w:eastAsiaTheme="minorEastAsia" w:hAnsi="Arial" w:cs="Arial"/>
          <w:kern w:val="0"/>
          <w14:ligatures w14:val="none"/>
        </w:rPr>
        <w:t xml:space="preserve">Women make up </w:t>
      </w:r>
      <w:proofErr w:type="gramStart"/>
      <w:r w:rsidRPr="0043780A">
        <w:rPr>
          <w:rFonts w:ascii="Arial" w:eastAsiaTheme="minorEastAsia" w:hAnsi="Arial" w:cs="Arial"/>
          <w:kern w:val="0"/>
          <w14:ligatures w14:val="none"/>
        </w:rPr>
        <w:t>the majority of</w:t>
      </w:r>
      <w:proofErr w:type="gramEnd"/>
      <w:r w:rsidRPr="0043780A">
        <w:rPr>
          <w:rFonts w:ascii="Arial" w:eastAsiaTheme="minorEastAsia" w:hAnsi="Arial" w:cs="Arial"/>
          <w:kern w:val="0"/>
          <w14:ligatures w14:val="none"/>
        </w:rPr>
        <w:t xml:space="preserve"> employees in all pay quartiles.</w:t>
      </w:r>
      <w:r>
        <w:rPr>
          <w:rFonts w:ascii="Arial" w:hAnsi="Arial" w:cs="Arial"/>
        </w:rPr>
        <w:t xml:space="preserve"> </w:t>
      </w:r>
      <w:r w:rsidRPr="0043780A">
        <w:rPr>
          <w:rFonts w:ascii="Arial" w:eastAsiaTheme="minorEastAsia" w:hAnsi="Arial" w:cs="Arial"/>
          <w:kern w:val="0"/>
          <w14:ligatures w14:val="none"/>
        </w:rPr>
        <w:t>The proportion of men increases steadily at higher pay quartiles, rising from 20.1% in the lower quartile to 29.5% in the upper quartile</w:t>
      </w:r>
      <w:r>
        <w:rPr>
          <w:rFonts w:ascii="Arial" w:hAnsi="Arial" w:cs="Arial"/>
        </w:rPr>
        <w:t>, whereas the proportion of women in the higher quartile is 9% less than in the lower quartile.</w:t>
      </w:r>
    </w:p>
    <w:p w14:paraId="61957EF4" w14:textId="135A4182" w:rsidR="004E24D5" w:rsidRPr="0043780A" w:rsidRDefault="004E24D5" w:rsidP="0043780A">
      <w:pPr>
        <w:rPr>
          <w:rFonts w:ascii="Arial" w:hAnsi="Arial" w:cs="Arial"/>
        </w:rPr>
      </w:pPr>
      <w:r w:rsidRPr="0043780A">
        <w:rPr>
          <w:rFonts w:ascii="Arial" w:hAnsi="Arial" w:cs="Arial"/>
        </w:rPr>
        <w:t>The chart below shows the men to women ratios across the quartiles</w:t>
      </w:r>
      <w:r w:rsidR="0043780A" w:rsidRPr="0043780A">
        <w:rPr>
          <w:rFonts w:ascii="Arial" w:hAnsi="Arial" w:cs="Arial"/>
        </w:rPr>
        <w:t xml:space="preserve"> in 2026</w:t>
      </w:r>
      <w:r w:rsidR="00F905D1" w:rsidRPr="0043780A">
        <w:rPr>
          <w:rFonts w:ascii="Arial" w:hAnsi="Arial" w:cs="Arial"/>
        </w:rPr>
        <w:t xml:space="preserve">. There are approximately 4 women per 1 man in the lower quartile, this ratio narrows as the quartiles increase. In the upper quartile there are 2.4 women per 1 man.  </w:t>
      </w:r>
    </w:p>
    <w:p w14:paraId="3C7CA447" w14:textId="27EB5F39" w:rsidR="004E24D5" w:rsidRDefault="0043780A" w:rsidP="00825FB1">
      <w:pPr>
        <w:pStyle w:val="ListParagraph"/>
        <w:ind w:hanging="862"/>
        <w:rPr>
          <w:rFonts w:ascii="Arial" w:hAnsi="Arial" w:cs="Arial"/>
        </w:rPr>
      </w:pPr>
      <w:r w:rsidRPr="004E24D5">
        <w:rPr>
          <w:rFonts w:ascii="Arial" w:hAnsi="Arial" w:cs="Arial"/>
          <w:noProof/>
        </w:rPr>
        <w:drawing>
          <wp:inline distT="0" distB="0" distL="0" distR="0" wp14:anchorId="0BB0E321" wp14:editId="3359FD18">
            <wp:extent cx="5856936" cy="2095500"/>
            <wp:effectExtent l="0" t="0" r="0" b="0"/>
            <wp:docPr id="141590109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5901098" name=""/>
                    <pic:cNvPicPr/>
                  </pic:nvPicPr>
                  <pic:blipFill>
                    <a:blip r:embed="rId5"/>
                    <a:stretch>
                      <a:fillRect/>
                    </a:stretch>
                  </pic:blipFill>
                  <pic:spPr>
                    <a:xfrm>
                      <a:off x="0" y="0"/>
                      <a:ext cx="5877256" cy="2102770"/>
                    </a:xfrm>
                    <a:prstGeom prst="rect">
                      <a:avLst/>
                    </a:prstGeom>
                  </pic:spPr>
                </pic:pic>
              </a:graphicData>
            </a:graphic>
          </wp:inline>
        </w:drawing>
      </w:r>
    </w:p>
    <w:p w14:paraId="4D5D4ED6" w14:textId="12970301" w:rsidR="004E24D5" w:rsidRDefault="004E24D5" w:rsidP="004E24D5">
      <w:pPr>
        <w:pStyle w:val="ListParagraph"/>
        <w:rPr>
          <w:rFonts w:ascii="Arial" w:hAnsi="Arial" w:cs="Arial"/>
        </w:rPr>
      </w:pPr>
    </w:p>
    <w:p w14:paraId="2A63E4E8" w14:textId="3AE16B94" w:rsidR="004E24D5" w:rsidRPr="00714B4F" w:rsidRDefault="00F905D1" w:rsidP="00714B4F">
      <w:pPr>
        <w:rPr>
          <w:rFonts w:ascii="Arial" w:hAnsi="Arial" w:cs="Arial"/>
        </w:rPr>
      </w:pPr>
      <w:r w:rsidRPr="00714B4F">
        <w:rPr>
          <w:rFonts w:ascii="Arial" w:hAnsi="Arial" w:cs="Arial"/>
        </w:rPr>
        <w:lastRenderedPageBreak/>
        <w:t xml:space="preserve">The </w:t>
      </w:r>
      <w:r w:rsidR="0043780A" w:rsidRPr="00714B4F">
        <w:rPr>
          <w:rFonts w:ascii="Arial" w:hAnsi="Arial" w:cs="Arial"/>
        </w:rPr>
        <w:t xml:space="preserve">following </w:t>
      </w:r>
      <w:r w:rsidRPr="00714B4F">
        <w:rPr>
          <w:rFonts w:ascii="Arial" w:hAnsi="Arial" w:cs="Arial"/>
        </w:rPr>
        <w:t>bar chart shows the proportion of women to men in each quartile</w:t>
      </w:r>
      <w:r w:rsidR="0043780A" w:rsidRPr="00714B4F">
        <w:rPr>
          <w:rFonts w:ascii="Arial" w:hAnsi="Arial" w:cs="Arial"/>
        </w:rPr>
        <w:t xml:space="preserve"> between 2025 and 2026.</w:t>
      </w:r>
    </w:p>
    <w:p w14:paraId="5821F0F1" w14:textId="77777777" w:rsidR="00F905D1" w:rsidRDefault="00F905D1" w:rsidP="004E24D5">
      <w:pPr>
        <w:pStyle w:val="ListParagraph"/>
        <w:rPr>
          <w:rFonts w:ascii="Arial" w:hAnsi="Arial" w:cs="Arial"/>
        </w:rPr>
      </w:pPr>
    </w:p>
    <w:p w14:paraId="2DC26165" w14:textId="69A70B4F" w:rsidR="004E24D5" w:rsidRDefault="004E24D5" w:rsidP="004E24D5">
      <w:pPr>
        <w:pStyle w:val="ListParagraph"/>
        <w:rPr>
          <w:rFonts w:ascii="Arial" w:hAnsi="Arial" w:cs="Arial"/>
        </w:rPr>
      </w:pPr>
      <w:r>
        <w:rPr>
          <w:rFonts w:ascii="Arial" w:hAnsi="Arial" w:cs="Arial"/>
          <w:noProof/>
        </w:rPr>
        <w:drawing>
          <wp:inline distT="0" distB="0" distL="0" distR="0" wp14:anchorId="4869C963" wp14:editId="6598580B">
            <wp:extent cx="5486400" cy="3200400"/>
            <wp:effectExtent l="0" t="0" r="0" b="0"/>
            <wp:docPr id="441182607"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6"/>
              </a:graphicData>
            </a:graphic>
          </wp:inline>
        </w:drawing>
      </w:r>
    </w:p>
    <w:p w14:paraId="493C6BD0" w14:textId="77777777" w:rsidR="004A63CF" w:rsidRDefault="004A63CF" w:rsidP="004E24D5">
      <w:pPr>
        <w:pStyle w:val="ListParagraph"/>
        <w:rPr>
          <w:rFonts w:ascii="Arial" w:hAnsi="Arial" w:cs="Arial"/>
        </w:rPr>
      </w:pPr>
    </w:p>
    <w:p w14:paraId="20C205AB" w14:textId="2E881D20" w:rsidR="004A63CF" w:rsidRDefault="004A63CF" w:rsidP="004A63CF">
      <w:pPr>
        <w:pStyle w:val="ListParagraph"/>
        <w:numPr>
          <w:ilvl w:val="0"/>
          <w:numId w:val="1"/>
        </w:numPr>
        <w:rPr>
          <w:rFonts w:ascii="Arial" w:hAnsi="Arial" w:cs="Arial"/>
          <w:b/>
          <w:bCs/>
        </w:rPr>
      </w:pPr>
      <w:r w:rsidRPr="004A63CF">
        <w:rPr>
          <w:rFonts w:ascii="Arial" w:hAnsi="Arial" w:cs="Arial"/>
          <w:b/>
          <w:bCs/>
        </w:rPr>
        <w:t>Historic trend analysis</w:t>
      </w:r>
    </w:p>
    <w:p w14:paraId="290C612C" w14:textId="7906AE58" w:rsidR="00714B4F" w:rsidRPr="00714B4F" w:rsidRDefault="00714B4F" w:rsidP="00714B4F">
      <w:pPr>
        <w:ind w:left="360"/>
        <w:rPr>
          <w:rFonts w:ascii="Arial" w:hAnsi="Arial" w:cs="Arial"/>
        </w:rPr>
      </w:pPr>
      <w:r w:rsidRPr="00714B4F">
        <w:rPr>
          <w:rFonts w:ascii="Arial" w:hAnsi="Arial" w:cs="Arial"/>
        </w:rPr>
        <w:t xml:space="preserve">The </w:t>
      </w:r>
      <w:r>
        <w:rPr>
          <w:rFonts w:ascii="Arial" w:hAnsi="Arial" w:cs="Arial"/>
        </w:rPr>
        <w:t xml:space="preserve">graph </w:t>
      </w:r>
      <w:r w:rsidRPr="00714B4F">
        <w:rPr>
          <w:rFonts w:ascii="Arial" w:hAnsi="Arial" w:cs="Arial"/>
        </w:rPr>
        <w:t>below shows the Trust’s mean and median pay gap since 2018</w:t>
      </w:r>
      <w:r>
        <w:rPr>
          <w:rFonts w:ascii="Arial" w:hAnsi="Arial" w:cs="Arial"/>
        </w:rPr>
        <w:t>.</w:t>
      </w:r>
    </w:p>
    <w:p w14:paraId="4C827566" w14:textId="4019B97A" w:rsidR="004A63CF" w:rsidRDefault="004A63CF" w:rsidP="00714B4F">
      <w:pPr>
        <w:rPr>
          <w:rFonts w:ascii="Arial" w:hAnsi="Arial" w:cs="Arial"/>
        </w:rPr>
      </w:pPr>
      <w:r w:rsidRPr="004A63CF">
        <w:rPr>
          <w:rFonts w:ascii="Arial" w:hAnsi="Arial" w:cs="Arial"/>
          <w:noProof/>
        </w:rPr>
        <w:drawing>
          <wp:inline distT="0" distB="0" distL="0" distR="0" wp14:anchorId="143155FD" wp14:editId="43BC94A4">
            <wp:extent cx="6217920" cy="3511296"/>
            <wp:effectExtent l="0" t="0" r="0" b="0"/>
            <wp:docPr id="1594725603" name="Picture 1594725603" descr="A graph with blue and orange line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94725603" name="Picture 1594725603" descr="A graph with blue and orange lines&#10;&#10;AI-generated content may be incorrect."/>
                    <pic:cNvPicPr/>
                  </pic:nvPicPr>
                  <pic:blipFill>
                    <a:blip r:embed="rId7"/>
                    <a:stretch>
                      <a:fillRect/>
                    </a:stretch>
                  </pic:blipFill>
                  <pic:spPr>
                    <a:xfrm>
                      <a:off x="0" y="0"/>
                      <a:ext cx="6217920" cy="3511296"/>
                    </a:xfrm>
                    <a:prstGeom prst="rect">
                      <a:avLst/>
                    </a:prstGeom>
                  </pic:spPr>
                </pic:pic>
              </a:graphicData>
            </a:graphic>
          </wp:inline>
        </w:drawing>
      </w:r>
    </w:p>
    <w:p w14:paraId="4983DB08" w14:textId="77777777" w:rsidR="00714B4F" w:rsidRDefault="00714B4F" w:rsidP="00714B4F">
      <w:pPr>
        <w:rPr>
          <w:rFonts w:ascii="Arial" w:hAnsi="Arial" w:cs="Arial"/>
        </w:rPr>
      </w:pPr>
      <w:r w:rsidRPr="004A63CF">
        <w:rPr>
          <w:rFonts w:ascii="Arial" w:hAnsi="Arial" w:cs="Arial"/>
        </w:rPr>
        <w:lastRenderedPageBreak/>
        <w:t>The Trust’s long-term gender pay gap trend shows a clear overall improvement between 2018 and 2026. Over this period, the mean gender pay gap reduced from</w:t>
      </w:r>
      <w:r>
        <w:rPr>
          <w:rFonts w:ascii="Arial" w:hAnsi="Arial" w:cs="Arial"/>
        </w:rPr>
        <w:t xml:space="preserve"> </w:t>
      </w:r>
      <w:r w:rsidRPr="004A63CF">
        <w:rPr>
          <w:rFonts w:ascii="Arial" w:hAnsi="Arial" w:cs="Arial"/>
        </w:rPr>
        <w:t>19.8% to 13.2</w:t>
      </w:r>
      <w:r>
        <w:rPr>
          <w:rFonts w:ascii="Arial" w:hAnsi="Arial" w:cs="Arial"/>
        </w:rPr>
        <w:t>%</w:t>
      </w:r>
      <w:r w:rsidRPr="004A63CF">
        <w:rPr>
          <w:rFonts w:ascii="Arial" w:hAnsi="Arial" w:cs="Arial"/>
        </w:rPr>
        <w:t xml:space="preserve">. </w:t>
      </w:r>
    </w:p>
    <w:p w14:paraId="593D1066" w14:textId="77777777" w:rsidR="00714B4F" w:rsidRDefault="00714B4F" w:rsidP="00714B4F">
      <w:pPr>
        <w:rPr>
          <w:rFonts w:ascii="Arial" w:hAnsi="Arial" w:cs="Arial"/>
        </w:rPr>
      </w:pPr>
      <w:r w:rsidRPr="004A63CF">
        <w:rPr>
          <w:rFonts w:ascii="Arial" w:hAnsi="Arial" w:cs="Arial"/>
        </w:rPr>
        <w:t xml:space="preserve">The median gender pay gap reduced from 11.4% to 4.7%. </w:t>
      </w:r>
    </w:p>
    <w:p w14:paraId="0FE27702" w14:textId="45473EB2" w:rsidR="00714B4F" w:rsidRPr="004A63CF" w:rsidRDefault="00714B4F" w:rsidP="00714B4F">
      <w:pPr>
        <w:rPr>
          <w:rFonts w:ascii="Arial" w:hAnsi="Arial" w:cs="Arial"/>
        </w:rPr>
      </w:pPr>
      <w:r w:rsidRPr="004A63CF">
        <w:rPr>
          <w:rFonts w:ascii="Arial" w:hAnsi="Arial" w:cs="Arial"/>
        </w:rPr>
        <w:t>This means the average gap has narrowed by around one third over the period, while the median gap has narrowed by almost three fifths. Taken together, this points to a sustained improvement in pay equity across the organisation, particularly around the middle of the pay distribution.</w:t>
      </w:r>
    </w:p>
    <w:p w14:paraId="123F7215" w14:textId="77777777" w:rsidR="00714B4F" w:rsidRPr="00F14B73" w:rsidRDefault="00714B4F" w:rsidP="00825FB1">
      <w:pPr>
        <w:pStyle w:val="ListParagraph"/>
        <w:numPr>
          <w:ilvl w:val="0"/>
          <w:numId w:val="1"/>
        </w:numPr>
        <w:ind w:hanging="720"/>
        <w:rPr>
          <w:rFonts w:ascii="Arial" w:hAnsi="Arial" w:cs="Arial"/>
          <w:b/>
          <w:bCs/>
        </w:rPr>
      </w:pPr>
      <w:r w:rsidRPr="00F14B73">
        <w:rPr>
          <w:rFonts w:ascii="Arial" w:hAnsi="Arial" w:cs="Arial"/>
          <w:b/>
          <w:bCs/>
        </w:rPr>
        <w:t xml:space="preserve">Benchmark data </w:t>
      </w:r>
    </w:p>
    <w:p w14:paraId="0517C892" w14:textId="6C8BBB2C" w:rsidR="00F14B73" w:rsidRDefault="00714B4F" w:rsidP="00F14B73">
      <w:pPr>
        <w:pStyle w:val="BodyText"/>
        <w:rPr>
          <w:rFonts w:ascii="Arial" w:hAnsi="Arial" w:cs="Arial"/>
          <w:sz w:val="24"/>
          <w:szCs w:val="24"/>
        </w:rPr>
      </w:pPr>
      <w:r w:rsidRPr="00F14B73">
        <w:rPr>
          <w:rFonts w:ascii="Arial" w:hAnsi="Arial" w:cs="Arial"/>
          <w:sz w:val="24"/>
          <w:szCs w:val="24"/>
        </w:rPr>
        <w:t xml:space="preserve">The latest available regional benchmark dataset relates to March 2025. The charts below show the Trust’s benchmark position in relation to the mean and median pay gaps in 2025. </w:t>
      </w:r>
    </w:p>
    <w:p w14:paraId="06F3BC77" w14:textId="655DAE19" w:rsidR="00F14B73" w:rsidRPr="00F14B73" w:rsidRDefault="00F14B73" w:rsidP="00F14B73">
      <w:pPr>
        <w:pStyle w:val="BodyText"/>
        <w:numPr>
          <w:ilvl w:val="1"/>
          <w:numId w:val="1"/>
        </w:numPr>
        <w:rPr>
          <w:rFonts w:ascii="Arial" w:hAnsi="Arial" w:cs="Arial"/>
          <w:b/>
          <w:bCs/>
          <w:sz w:val="24"/>
          <w:szCs w:val="24"/>
        </w:rPr>
      </w:pPr>
      <w:r w:rsidRPr="00F14B73">
        <w:rPr>
          <w:rFonts w:ascii="Arial" w:hAnsi="Arial" w:cs="Arial"/>
          <w:b/>
          <w:bCs/>
          <w:sz w:val="24"/>
          <w:szCs w:val="24"/>
        </w:rPr>
        <w:t xml:space="preserve">Yorkshire and Humber mean pay gap data </w:t>
      </w:r>
    </w:p>
    <w:p w14:paraId="7A9F9053" w14:textId="74972356" w:rsidR="00F14B73" w:rsidRDefault="00F14B73" w:rsidP="00F14B73">
      <w:pPr>
        <w:spacing w:after="120"/>
        <w:rPr>
          <w:noProof/>
        </w:rPr>
      </w:pPr>
      <w:r>
        <w:rPr>
          <w:noProof/>
        </w:rPr>
        <w:drawing>
          <wp:inline distT="0" distB="0" distL="0" distR="0" wp14:anchorId="1A1BDD3A" wp14:editId="2BB01C97">
            <wp:extent cx="5623560" cy="3215005"/>
            <wp:effectExtent l="0" t="0" r="0" b="4445"/>
            <wp:docPr id="395186099"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637114" cy="3222754"/>
                    </a:xfrm>
                    <a:prstGeom prst="rect">
                      <a:avLst/>
                    </a:prstGeom>
                    <a:noFill/>
                  </pic:spPr>
                </pic:pic>
              </a:graphicData>
            </a:graphic>
          </wp:inline>
        </w:drawing>
      </w:r>
    </w:p>
    <w:p w14:paraId="3B90B743" w14:textId="0612A176" w:rsidR="00F14B73" w:rsidRPr="00F14B73" w:rsidRDefault="00F14B73" w:rsidP="00F14B73">
      <w:pPr>
        <w:pStyle w:val="ListParagraph"/>
        <w:numPr>
          <w:ilvl w:val="1"/>
          <w:numId w:val="1"/>
        </w:numPr>
        <w:rPr>
          <w:b/>
          <w:bCs/>
        </w:rPr>
      </w:pPr>
      <w:r w:rsidRPr="00F14B73">
        <w:rPr>
          <w:b/>
          <w:bCs/>
        </w:rPr>
        <w:t xml:space="preserve">Yorkshire and Humber median pay gap data </w:t>
      </w:r>
    </w:p>
    <w:p w14:paraId="1C0D58DB" w14:textId="77777777" w:rsidR="00F14B73" w:rsidRDefault="00F14B73" w:rsidP="00F14B73">
      <w:pPr>
        <w:spacing w:after="120"/>
        <w:rPr>
          <w:rFonts w:ascii="Arial" w:hAnsi="Arial" w:cs="Arial"/>
        </w:rPr>
      </w:pPr>
      <w:r>
        <w:rPr>
          <w:noProof/>
        </w:rPr>
        <w:lastRenderedPageBreak/>
        <w:drawing>
          <wp:inline distT="0" distB="0" distL="0" distR="0" wp14:anchorId="60F09AFE" wp14:editId="37B8069A">
            <wp:extent cx="5478780" cy="2880360"/>
            <wp:effectExtent l="0" t="0" r="7620" b="0"/>
            <wp:docPr id="1200640002"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9">
                      <a:extLst>
                        <a:ext uri="{28A0092B-C50C-407E-A947-70E740481C1C}">
                          <a14:useLocalDpi xmlns:a14="http://schemas.microsoft.com/office/drawing/2010/main" val="0"/>
                        </a:ext>
                      </a:extLst>
                    </a:blip>
                    <a:srcRect t="8205"/>
                    <a:stretch>
                      <a:fillRect/>
                    </a:stretch>
                  </pic:blipFill>
                  <pic:spPr bwMode="auto">
                    <a:xfrm>
                      <a:off x="0" y="0"/>
                      <a:ext cx="5497421" cy="2890160"/>
                    </a:xfrm>
                    <a:prstGeom prst="rect">
                      <a:avLst/>
                    </a:prstGeom>
                    <a:noFill/>
                    <a:ln>
                      <a:noFill/>
                    </a:ln>
                    <a:extLst>
                      <a:ext uri="{53640926-AAD7-44D8-BBD7-CCE9431645EC}">
                        <a14:shadowObscured xmlns:a14="http://schemas.microsoft.com/office/drawing/2010/main"/>
                      </a:ext>
                    </a:extLst>
                  </pic:spPr>
                </pic:pic>
              </a:graphicData>
            </a:graphic>
          </wp:inline>
        </w:drawing>
      </w:r>
    </w:p>
    <w:p w14:paraId="6B1A19C8" w14:textId="5E15AA5A" w:rsidR="00714B4F" w:rsidRDefault="00714B4F" w:rsidP="00F14B73">
      <w:pPr>
        <w:spacing w:after="120"/>
        <w:rPr>
          <w:rFonts w:ascii="Arial" w:hAnsi="Arial" w:cs="Arial"/>
        </w:rPr>
      </w:pPr>
      <w:r w:rsidRPr="00F14B73">
        <w:rPr>
          <w:rFonts w:ascii="Arial" w:hAnsi="Arial" w:cs="Arial"/>
        </w:rPr>
        <w:t xml:space="preserve">The regional </w:t>
      </w:r>
      <w:r w:rsidR="00F14B73">
        <w:rPr>
          <w:rFonts w:ascii="Arial" w:hAnsi="Arial" w:cs="Arial"/>
        </w:rPr>
        <w:t>benchmark data</w:t>
      </w:r>
      <w:r w:rsidRPr="00F14B73">
        <w:rPr>
          <w:rFonts w:ascii="Arial" w:hAnsi="Arial" w:cs="Arial"/>
        </w:rPr>
        <w:t xml:space="preserve"> show that SWYPFT performs better than most trusts in Yorkshire and Humber on both the mean and median measures. </w:t>
      </w:r>
    </w:p>
    <w:p w14:paraId="1DC34CB7" w14:textId="4BE2B68F" w:rsidR="00E920A0" w:rsidRDefault="00E920A0" w:rsidP="00825FB1">
      <w:pPr>
        <w:pStyle w:val="ListParagraph"/>
        <w:numPr>
          <w:ilvl w:val="0"/>
          <w:numId w:val="1"/>
        </w:numPr>
        <w:spacing w:after="120"/>
        <w:ind w:hanging="720"/>
        <w:rPr>
          <w:rFonts w:ascii="Arial" w:hAnsi="Arial" w:cs="Arial"/>
          <w:b/>
          <w:bCs/>
          <w:noProof/>
        </w:rPr>
      </w:pPr>
      <w:r w:rsidRPr="00E920A0">
        <w:rPr>
          <w:rFonts w:ascii="Arial" w:hAnsi="Arial" w:cs="Arial"/>
          <w:b/>
          <w:bCs/>
        </w:rPr>
        <w:t>Conclusions</w:t>
      </w:r>
    </w:p>
    <w:p w14:paraId="083F2FAF" w14:textId="19364C04" w:rsidR="00E920A0" w:rsidRPr="00E920A0" w:rsidRDefault="00E920A0" w:rsidP="00E920A0">
      <w:pPr>
        <w:spacing w:after="0" w:line="300" w:lineRule="atLeast"/>
        <w:rPr>
          <w:rFonts w:ascii="Arial" w:eastAsia="Times New Roman" w:hAnsi="Arial" w:cs="Arial"/>
          <w:kern w:val="0"/>
          <w:lang w:eastAsia="en-GB"/>
          <w14:ligatures w14:val="none"/>
        </w:rPr>
      </w:pPr>
      <w:r w:rsidRPr="00E920A0">
        <w:rPr>
          <w:rFonts w:ascii="Arial" w:eastAsia="Times New Roman" w:hAnsi="Arial" w:cs="Arial"/>
          <w:kern w:val="0"/>
          <w:lang w:eastAsia="en-GB"/>
          <w14:ligatures w14:val="none"/>
        </w:rPr>
        <w:t xml:space="preserve">The Trust’s gender </w:t>
      </w:r>
      <w:proofErr w:type="gramStart"/>
      <w:r w:rsidRPr="00E920A0">
        <w:rPr>
          <w:rFonts w:ascii="Arial" w:eastAsia="Times New Roman" w:hAnsi="Arial" w:cs="Arial"/>
          <w:kern w:val="0"/>
          <w:lang w:eastAsia="en-GB"/>
          <w14:ligatures w14:val="none"/>
        </w:rPr>
        <w:t>pay</w:t>
      </w:r>
      <w:proofErr w:type="gramEnd"/>
      <w:r w:rsidRPr="00E920A0">
        <w:rPr>
          <w:rFonts w:ascii="Arial" w:eastAsia="Times New Roman" w:hAnsi="Arial" w:cs="Arial"/>
          <w:kern w:val="0"/>
          <w:lang w:eastAsia="en-GB"/>
          <w14:ligatures w14:val="none"/>
        </w:rPr>
        <w:t xml:space="preserve"> gap remains moderate and is primarily driven by the distribution of men and women across pay quartiles, particularly at senior levels. While women are well represented across the workforce, they are under</w:t>
      </w:r>
      <w:r w:rsidRPr="00E920A0">
        <w:rPr>
          <w:rFonts w:ascii="Arial" w:eastAsia="Times New Roman" w:hAnsi="Arial" w:cs="Arial"/>
          <w:kern w:val="0"/>
          <w:lang w:eastAsia="en-GB"/>
          <w14:ligatures w14:val="none"/>
        </w:rPr>
        <w:noBreakHyphen/>
        <w:t>represented in the highest</w:t>
      </w:r>
      <w:r w:rsidRPr="00E920A0">
        <w:rPr>
          <w:rFonts w:ascii="Arial" w:eastAsia="Times New Roman" w:hAnsi="Arial" w:cs="Arial"/>
          <w:kern w:val="0"/>
          <w:lang w:eastAsia="en-GB"/>
          <w14:ligatures w14:val="none"/>
        </w:rPr>
        <w:noBreakHyphen/>
        <w:t>paid roles. Our EDI improvement plan therefore focuses on supporting progression, strengthening recruitment and development pathways</w:t>
      </w:r>
      <w:r>
        <w:rPr>
          <w:rFonts w:ascii="Arial" w:eastAsia="Times New Roman" w:hAnsi="Arial" w:cs="Arial"/>
          <w:kern w:val="0"/>
          <w:lang w:eastAsia="en-GB"/>
          <w14:ligatures w14:val="none"/>
        </w:rPr>
        <w:t xml:space="preserve"> </w:t>
      </w:r>
      <w:r w:rsidRPr="00E920A0">
        <w:rPr>
          <w:rFonts w:ascii="Arial" w:eastAsia="Times New Roman" w:hAnsi="Arial" w:cs="Arial"/>
          <w:kern w:val="0"/>
          <w:lang w:eastAsia="en-GB"/>
          <w14:ligatures w14:val="none"/>
        </w:rPr>
        <w:t>and increasing representation at senior levels to maintain progress and further reduce the pay gap</w:t>
      </w:r>
      <w:r>
        <w:rPr>
          <w:rFonts w:ascii="Arial" w:eastAsia="Times New Roman" w:hAnsi="Arial" w:cs="Arial"/>
          <w:kern w:val="0"/>
          <w:lang w:eastAsia="en-GB"/>
          <w14:ligatures w14:val="none"/>
        </w:rPr>
        <w:t xml:space="preserve"> through talent and succession planning.</w:t>
      </w:r>
    </w:p>
    <w:p w14:paraId="20258EED" w14:textId="77777777" w:rsidR="00E920A0" w:rsidRPr="00E920A0" w:rsidRDefault="00E920A0" w:rsidP="00E920A0">
      <w:pPr>
        <w:spacing w:after="120"/>
        <w:rPr>
          <w:rFonts w:ascii="Arial" w:hAnsi="Arial" w:cs="Arial"/>
          <w:b/>
          <w:bCs/>
          <w:noProof/>
        </w:rPr>
      </w:pPr>
    </w:p>
    <w:p w14:paraId="7585FB39" w14:textId="66013052" w:rsidR="004A63CF" w:rsidRPr="00E920A0" w:rsidRDefault="00E920A0" w:rsidP="00E920A0">
      <w:pPr>
        <w:pStyle w:val="ListParagraph"/>
        <w:numPr>
          <w:ilvl w:val="0"/>
          <w:numId w:val="1"/>
        </w:numPr>
        <w:rPr>
          <w:rFonts w:ascii="Arial" w:hAnsi="Arial" w:cs="Arial"/>
          <w:b/>
          <w:bCs/>
        </w:rPr>
      </w:pPr>
      <w:r w:rsidRPr="00E920A0">
        <w:rPr>
          <w:rFonts w:ascii="Arial" w:hAnsi="Arial" w:cs="Arial"/>
          <w:b/>
          <w:bCs/>
        </w:rPr>
        <w:t>Recommendations</w:t>
      </w:r>
    </w:p>
    <w:p w14:paraId="7ADF1F38" w14:textId="0DF3A648" w:rsidR="00E920A0" w:rsidRDefault="00E920A0" w:rsidP="00E920A0">
      <w:pPr>
        <w:rPr>
          <w:rFonts w:ascii="Arial" w:hAnsi="Arial" w:cs="Arial"/>
        </w:rPr>
      </w:pPr>
      <w:r>
        <w:rPr>
          <w:rFonts w:ascii="Arial" w:hAnsi="Arial" w:cs="Arial"/>
        </w:rPr>
        <w:t xml:space="preserve">The </w:t>
      </w:r>
      <w:r w:rsidR="00825FB1">
        <w:rPr>
          <w:rFonts w:ascii="Arial" w:hAnsi="Arial" w:cs="Arial"/>
        </w:rPr>
        <w:t>c</w:t>
      </w:r>
      <w:r>
        <w:rPr>
          <w:rFonts w:ascii="Arial" w:hAnsi="Arial" w:cs="Arial"/>
        </w:rPr>
        <w:t>ommittee are asked to note the gender pay gap data</w:t>
      </w:r>
      <w:r w:rsidR="00825FB1">
        <w:rPr>
          <w:rFonts w:ascii="Arial" w:hAnsi="Arial" w:cs="Arial"/>
        </w:rPr>
        <w:t xml:space="preserve"> and note publication of the data.</w:t>
      </w:r>
    </w:p>
    <w:p w14:paraId="60C8099F" w14:textId="77777777" w:rsidR="00B70E97" w:rsidRDefault="00B70E97" w:rsidP="00E920A0">
      <w:pPr>
        <w:rPr>
          <w:rFonts w:ascii="Arial" w:hAnsi="Arial" w:cs="Arial"/>
        </w:rPr>
      </w:pPr>
    </w:p>
    <w:p w14:paraId="4E70D1BE" w14:textId="77777777" w:rsidR="00B70E97" w:rsidRDefault="00B70E97" w:rsidP="00E920A0">
      <w:pPr>
        <w:rPr>
          <w:rFonts w:ascii="Arial" w:hAnsi="Arial" w:cs="Arial"/>
        </w:rPr>
      </w:pPr>
    </w:p>
    <w:p w14:paraId="6C408751" w14:textId="2041DBFC" w:rsidR="00B70E97" w:rsidRDefault="00B70E97" w:rsidP="00E920A0">
      <w:pPr>
        <w:rPr>
          <w:rFonts w:ascii="Arial" w:hAnsi="Arial" w:cs="Arial"/>
        </w:rPr>
      </w:pPr>
      <w:r>
        <w:rPr>
          <w:rFonts w:ascii="Arial" w:hAnsi="Arial" w:cs="Arial"/>
        </w:rPr>
        <w:t xml:space="preserve">Report Authors: </w:t>
      </w:r>
    </w:p>
    <w:p w14:paraId="55257B2C" w14:textId="73371C5F" w:rsidR="00B70E97" w:rsidRDefault="00B70E97" w:rsidP="00E920A0">
      <w:pPr>
        <w:rPr>
          <w:rFonts w:ascii="Arial" w:hAnsi="Arial" w:cs="Arial"/>
        </w:rPr>
      </w:pPr>
      <w:r>
        <w:rPr>
          <w:rFonts w:ascii="Arial" w:hAnsi="Arial" w:cs="Arial"/>
        </w:rPr>
        <w:t xml:space="preserve">Andrew Prince, Head of Employment Services </w:t>
      </w:r>
    </w:p>
    <w:p w14:paraId="06CF5E49" w14:textId="4DB2CD8C" w:rsidR="00B70E97" w:rsidRPr="00E920A0" w:rsidRDefault="00B70E97" w:rsidP="00E920A0">
      <w:pPr>
        <w:rPr>
          <w:rFonts w:ascii="Arial" w:hAnsi="Arial" w:cs="Arial"/>
        </w:rPr>
      </w:pPr>
      <w:r>
        <w:rPr>
          <w:rFonts w:ascii="Arial" w:hAnsi="Arial" w:cs="Arial"/>
        </w:rPr>
        <w:t xml:space="preserve">Ellie Valentine, Deputy Chief People Officer </w:t>
      </w:r>
    </w:p>
    <w:sectPr w:rsidR="00B70E97" w:rsidRPr="00E920A0">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4692B9C6"/>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1BED1B81"/>
    <w:multiLevelType w:val="hybridMultilevel"/>
    <w:tmpl w:val="3BEADBFA"/>
    <w:lvl w:ilvl="0" w:tplc="0809000F">
      <w:start w:val="1"/>
      <w:numFmt w:val="decimal"/>
      <w:lvlText w:val="%1."/>
      <w:lvlJc w:val="left"/>
      <w:pPr>
        <w:ind w:left="720" w:hanging="360"/>
      </w:pPr>
      <w:rPr>
        <w:rFonts w:hint="default"/>
      </w:rPr>
    </w:lvl>
    <w:lvl w:ilvl="1" w:tplc="AD8A1FA2">
      <w:start w:val="1"/>
      <w:numFmt w:val="lowerLetter"/>
      <w:lvlText w:val="%2."/>
      <w:lvlJc w:val="left"/>
      <w:pPr>
        <w:ind w:left="1440" w:hanging="360"/>
      </w:pPr>
      <w:rPr>
        <w:b/>
        <w:bCs/>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438186423">
    <w:abstractNumId w:val="1"/>
  </w:num>
  <w:num w:numId="2" w16cid:durableId="101672969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B78BB"/>
    <w:rsid w:val="000659A1"/>
    <w:rsid w:val="00091622"/>
    <w:rsid w:val="000B78BB"/>
    <w:rsid w:val="00201F49"/>
    <w:rsid w:val="00333202"/>
    <w:rsid w:val="0043780A"/>
    <w:rsid w:val="004A63CF"/>
    <w:rsid w:val="004E24D5"/>
    <w:rsid w:val="0059310B"/>
    <w:rsid w:val="00600F63"/>
    <w:rsid w:val="0065430A"/>
    <w:rsid w:val="00714B4F"/>
    <w:rsid w:val="00741833"/>
    <w:rsid w:val="007D1350"/>
    <w:rsid w:val="00823388"/>
    <w:rsid w:val="00825FB1"/>
    <w:rsid w:val="008E74B9"/>
    <w:rsid w:val="00A079EA"/>
    <w:rsid w:val="00A3157B"/>
    <w:rsid w:val="00B70E97"/>
    <w:rsid w:val="00CC3710"/>
    <w:rsid w:val="00D40568"/>
    <w:rsid w:val="00E920A0"/>
    <w:rsid w:val="00EE60C0"/>
    <w:rsid w:val="00F14B73"/>
    <w:rsid w:val="00F905D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24222D6"/>
  <w15:chartTrackingRefBased/>
  <w15:docId w15:val="{C1510ACC-3C8E-4C30-95B1-8EFB4B902E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0B78B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0B78B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0B78BB"/>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0B78BB"/>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0B78BB"/>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0B78B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B78B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B78B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B78BB"/>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B78BB"/>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0B78BB"/>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0B78BB"/>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0B78BB"/>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0B78BB"/>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0B78B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B78B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B78B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B78BB"/>
    <w:rPr>
      <w:rFonts w:eastAsiaTheme="majorEastAsia" w:cstheme="majorBidi"/>
      <w:color w:val="272727" w:themeColor="text1" w:themeTint="D8"/>
    </w:rPr>
  </w:style>
  <w:style w:type="paragraph" w:styleId="Title">
    <w:name w:val="Title"/>
    <w:basedOn w:val="Normal"/>
    <w:next w:val="Normal"/>
    <w:link w:val="TitleChar"/>
    <w:uiPriority w:val="10"/>
    <w:qFormat/>
    <w:rsid w:val="000B78B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B78B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B78B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B78B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B78BB"/>
    <w:pPr>
      <w:spacing w:before="160"/>
      <w:jc w:val="center"/>
    </w:pPr>
    <w:rPr>
      <w:i/>
      <w:iCs/>
      <w:color w:val="404040" w:themeColor="text1" w:themeTint="BF"/>
    </w:rPr>
  </w:style>
  <w:style w:type="character" w:customStyle="1" w:styleId="QuoteChar">
    <w:name w:val="Quote Char"/>
    <w:basedOn w:val="DefaultParagraphFont"/>
    <w:link w:val="Quote"/>
    <w:uiPriority w:val="29"/>
    <w:rsid w:val="000B78BB"/>
    <w:rPr>
      <w:i/>
      <w:iCs/>
      <w:color w:val="404040" w:themeColor="text1" w:themeTint="BF"/>
    </w:rPr>
  </w:style>
  <w:style w:type="paragraph" w:styleId="ListParagraph">
    <w:name w:val="List Paragraph"/>
    <w:basedOn w:val="Normal"/>
    <w:uiPriority w:val="34"/>
    <w:qFormat/>
    <w:rsid w:val="000B78BB"/>
    <w:pPr>
      <w:ind w:left="720"/>
      <w:contextualSpacing/>
    </w:pPr>
  </w:style>
  <w:style w:type="character" w:styleId="IntenseEmphasis">
    <w:name w:val="Intense Emphasis"/>
    <w:basedOn w:val="DefaultParagraphFont"/>
    <w:uiPriority w:val="21"/>
    <w:qFormat/>
    <w:rsid w:val="000B78BB"/>
    <w:rPr>
      <w:i/>
      <w:iCs/>
      <w:color w:val="0F4761" w:themeColor="accent1" w:themeShade="BF"/>
    </w:rPr>
  </w:style>
  <w:style w:type="paragraph" w:styleId="IntenseQuote">
    <w:name w:val="Intense Quote"/>
    <w:basedOn w:val="Normal"/>
    <w:next w:val="Normal"/>
    <w:link w:val="IntenseQuoteChar"/>
    <w:uiPriority w:val="30"/>
    <w:qFormat/>
    <w:rsid w:val="000B78B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0B78BB"/>
    <w:rPr>
      <w:i/>
      <w:iCs/>
      <w:color w:val="0F4761" w:themeColor="accent1" w:themeShade="BF"/>
    </w:rPr>
  </w:style>
  <w:style w:type="character" w:styleId="IntenseReference">
    <w:name w:val="Intense Reference"/>
    <w:basedOn w:val="DefaultParagraphFont"/>
    <w:uiPriority w:val="32"/>
    <w:qFormat/>
    <w:rsid w:val="000B78BB"/>
    <w:rPr>
      <w:b/>
      <w:bCs/>
      <w:smallCaps/>
      <w:color w:val="0F4761" w:themeColor="accent1" w:themeShade="BF"/>
      <w:spacing w:val="5"/>
    </w:rPr>
  </w:style>
  <w:style w:type="paragraph" w:styleId="BodyText">
    <w:name w:val="Body Text"/>
    <w:basedOn w:val="Normal"/>
    <w:link w:val="BodyTextChar"/>
    <w:uiPriority w:val="99"/>
    <w:unhideWhenUsed/>
    <w:rsid w:val="000B78BB"/>
    <w:pPr>
      <w:spacing w:after="120" w:line="276" w:lineRule="auto"/>
    </w:pPr>
    <w:rPr>
      <w:rFonts w:ascii="Calibri" w:eastAsiaTheme="minorEastAsia" w:hAnsi="Calibri"/>
      <w:kern w:val="0"/>
      <w:sz w:val="21"/>
      <w:szCs w:val="22"/>
      <w:lang w:val="en-US"/>
      <w14:ligatures w14:val="none"/>
    </w:rPr>
  </w:style>
  <w:style w:type="character" w:customStyle="1" w:styleId="BodyTextChar">
    <w:name w:val="Body Text Char"/>
    <w:basedOn w:val="DefaultParagraphFont"/>
    <w:link w:val="BodyText"/>
    <w:uiPriority w:val="99"/>
    <w:rsid w:val="000B78BB"/>
    <w:rPr>
      <w:rFonts w:ascii="Calibri" w:eastAsiaTheme="minorEastAsia" w:hAnsi="Calibri"/>
      <w:kern w:val="0"/>
      <w:sz w:val="21"/>
      <w:szCs w:val="22"/>
      <w:lang w:val="en-US"/>
      <w14:ligatures w14:val="none"/>
    </w:rPr>
  </w:style>
  <w:style w:type="table" w:styleId="TableGrid">
    <w:name w:val="Table Grid"/>
    <w:basedOn w:val="TableNormal"/>
    <w:uiPriority w:val="39"/>
    <w:rsid w:val="00EE60C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Bullet">
    <w:name w:val="List Bullet"/>
    <w:basedOn w:val="Normal"/>
    <w:uiPriority w:val="99"/>
    <w:unhideWhenUsed/>
    <w:rsid w:val="00E920A0"/>
    <w:pPr>
      <w:numPr>
        <w:numId w:val="2"/>
      </w:numPr>
      <w:tabs>
        <w:tab w:val="clear" w:pos="360"/>
      </w:tabs>
      <w:spacing w:after="200" w:line="276" w:lineRule="auto"/>
      <w:ind w:left="0" w:firstLine="0"/>
      <w:contextualSpacing/>
    </w:pPr>
    <w:rPr>
      <w:rFonts w:ascii="Calibri" w:eastAsiaTheme="minorEastAsia" w:hAnsi="Calibri"/>
      <w:kern w:val="0"/>
      <w:sz w:val="21"/>
      <w:szCs w:val="22"/>
      <w:lang w:val="en-US"/>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3" Type="http://schemas.openxmlformats.org/officeDocument/2006/relationships/settings" Target="settings.xml"/><Relationship Id="rId7" Type="http://schemas.openxmlformats.org/officeDocument/2006/relationships/image" Target="media/image2.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chart" Target="charts/chart1.xml"/><Relationship Id="rId11" Type="http://schemas.openxmlformats.org/officeDocument/2006/relationships/theme" Target="theme/theme1.xml"/><Relationship Id="rId5" Type="http://schemas.openxmlformats.org/officeDocument/2006/relationships/image" Target="media/image1.png"/><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4.png"/></Relationships>
</file>

<file path=word/charts/_rels/chart1.xml.rels><?xml version="1.0" encoding="UTF-8" standalone="yes"?>
<Relationships xmlns="http://schemas.openxmlformats.org/package/2006/relationships"><Relationship Id="rId3" Type="http://schemas.openxmlformats.org/officeDocument/2006/relationships/package" Target="../embeddings/Microsoft_Excel_Worksheet.xlsx"/><Relationship Id="rId2" Type="http://schemas.microsoft.com/office/2011/relationships/chartColorStyle" Target="colors1.xml"/><Relationship Id="rId1" Type="http://schemas.microsoft.com/office/2011/relationships/chartStyle" Target="style1.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GB"/>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solidFill>
                <a:latin typeface="+mn-lt"/>
                <a:ea typeface="+mn-ea"/>
                <a:cs typeface="+mn-cs"/>
              </a:defRPr>
            </a:pPr>
            <a:r>
              <a:rPr lang="en-GB"/>
              <a:t>Comparative % women: men ratio per pay quartile</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solidFill>
              <a:latin typeface="+mn-lt"/>
              <a:ea typeface="+mn-ea"/>
              <a:cs typeface="+mn-cs"/>
            </a:defRPr>
          </a:pPr>
          <a:endParaRPr lang="en-US"/>
        </a:p>
      </c:txPr>
    </c:title>
    <c:autoTitleDeleted val="0"/>
    <c:plotArea>
      <c:layout/>
      <c:barChart>
        <c:barDir val="bar"/>
        <c:grouping val="stacked"/>
        <c:varyColors val="0"/>
        <c:ser>
          <c:idx val="0"/>
          <c:order val="0"/>
          <c:tx>
            <c:strRef>
              <c:f>Sheet1!$B$1</c:f>
              <c:strCache>
                <c:ptCount val="1"/>
                <c:pt idx="0">
                  <c:v>Women</c:v>
                </c:pt>
              </c:strCache>
            </c:strRef>
          </c:tx>
          <c:spPr>
            <a:solidFill>
              <a:schemeClr val="accent2"/>
            </a:solidFill>
            <a:ln>
              <a:noFill/>
            </a:ln>
            <a:effectLst/>
          </c:spPr>
          <c:invertIfNegative val="0"/>
          <c:dLbls>
            <c:spPr>
              <a:noFill/>
              <a:ln>
                <a:noFill/>
              </a:ln>
              <a:effectLst/>
            </c:spPr>
            <c:txPr>
              <a:bodyPr rot="0" spcFirstLastPara="1" vertOverflow="ellipsis" vert="horz" wrap="square" anchor="ctr" anchorCtr="1"/>
              <a:lstStyle/>
              <a:p>
                <a:pPr>
                  <a:defRPr sz="900" b="0" i="0" u="none" strike="noStrike" kern="1200" baseline="0">
                    <a:solidFill>
                      <a:schemeClr val="tx1"/>
                    </a:solidFill>
                    <a:latin typeface="+mn-lt"/>
                    <a:ea typeface="+mn-ea"/>
                    <a:cs typeface="+mn-cs"/>
                  </a:defRPr>
                </a:pPr>
                <a:endParaRPr lang="en-US"/>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Sheet1!$A$2:$A$9</c:f>
              <c:strCache>
                <c:ptCount val="8"/>
                <c:pt idx="0">
                  <c:v>Lower Quartile 2026</c:v>
                </c:pt>
                <c:pt idx="1">
                  <c:v>Lower Quartile 2025</c:v>
                </c:pt>
                <c:pt idx="2">
                  <c:v>Lower Middle Quartile 2026</c:v>
                </c:pt>
                <c:pt idx="3">
                  <c:v>Lower Middle Quartile 2025</c:v>
                </c:pt>
                <c:pt idx="4">
                  <c:v>Upper Middle Quartile 2026</c:v>
                </c:pt>
                <c:pt idx="5">
                  <c:v>Upper Middle Quartile 2025</c:v>
                </c:pt>
                <c:pt idx="6">
                  <c:v>Upper Quartile 2026</c:v>
                </c:pt>
                <c:pt idx="7">
                  <c:v>Upper Quartile 2025</c:v>
                </c:pt>
              </c:strCache>
            </c:strRef>
          </c:cat>
          <c:val>
            <c:numRef>
              <c:f>Sheet1!$B$2:$B$9</c:f>
              <c:numCache>
                <c:formatCode>General</c:formatCode>
                <c:ptCount val="8"/>
                <c:pt idx="0">
                  <c:v>79.900000000000006</c:v>
                </c:pt>
                <c:pt idx="1">
                  <c:v>81.099999999999994</c:v>
                </c:pt>
                <c:pt idx="2">
                  <c:v>75.3</c:v>
                </c:pt>
                <c:pt idx="3">
                  <c:v>74.900000000000006</c:v>
                </c:pt>
                <c:pt idx="4">
                  <c:v>76.599999999999994</c:v>
                </c:pt>
                <c:pt idx="5">
                  <c:v>78.400000000000006</c:v>
                </c:pt>
                <c:pt idx="6">
                  <c:v>70.5</c:v>
                </c:pt>
                <c:pt idx="7">
                  <c:v>70.2</c:v>
                </c:pt>
              </c:numCache>
            </c:numRef>
          </c:val>
          <c:extLst>
            <c:ext xmlns:c16="http://schemas.microsoft.com/office/drawing/2014/chart" uri="{C3380CC4-5D6E-409C-BE32-E72D297353CC}">
              <c16:uniqueId val="{00000000-CD28-45A5-AB95-07E85AB0341E}"/>
            </c:ext>
          </c:extLst>
        </c:ser>
        <c:ser>
          <c:idx val="1"/>
          <c:order val="1"/>
          <c:tx>
            <c:strRef>
              <c:f>Sheet1!$C$1</c:f>
              <c:strCache>
                <c:ptCount val="1"/>
                <c:pt idx="0">
                  <c:v>Men</c:v>
                </c:pt>
              </c:strCache>
            </c:strRef>
          </c:tx>
          <c:spPr>
            <a:solidFill>
              <a:schemeClr val="accent4"/>
            </a:solidFill>
            <a:ln>
              <a:noFill/>
            </a:ln>
            <a:effectLst/>
          </c:spPr>
          <c:invertIfNegative val="0"/>
          <c:dLbls>
            <c:spPr>
              <a:noFill/>
              <a:ln>
                <a:noFill/>
              </a:ln>
              <a:effectLst/>
            </c:spPr>
            <c:txPr>
              <a:bodyPr rot="0" spcFirstLastPara="1" vertOverflow="ellipsis" vert="horz" wrap="square" anchor="ctr" anchorCtr="1"/>
              <a:lstStyle/>
              <a:p>
                <a:pPr>
                  <a:defRPr sz="900" b="0" i="0" u="none" strike="noStrike" kern="1200" baseline="0">
                    <a:solidFill>
                      <a:schemeClr val="tx1"/>
                    </a:solidFill>
                    <a:latin typeface="+mn-lt"/>
                    <a:ea typeface="+mn-ea"/>
                    <a:cs typeface="+mn-cs"/>
                  </a:defRPr>
                </a:pPr>
                <a:endParaRPr lang="en-US"/>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Sheet1!$A$2:$A$9</c:f>
              <c:strCache>
                <c:ptCount val="8"/>
                <c:pt idx="0">
                  <c:v>Lower Quartile 2026</c:v>
                </c:pt>
                <c:pt idx="1">
                  <c:v>Lower Quartile 2025</c:v>
                </c:pt>
                <c:pt idx="2">
                  <c:v>Lower Middle Quartile 2026</c:v>
                </c:pt>
                <c:pt idx="3">
                  <c:v>Lower Middle Quartile 2025</c:v>
                </c:pt>
                <c:pt idx="4">
                  <c:v>Upper Middle Quartile 2026</c:v>
                </c:pt>
                <c:pt idx="5">
                  <c:v>Upper Middle Quartile 2025</c:v>
                </c:pt>
                <c:pt idx="6">
                  <c:v>Upper Quartile 2026</c:v>
                </c:pt>
                <c:pt idx="7">
                  <c:v>Upper Quartile 2025</c:v>
                </c:pt>
              </c:strCache>
            </c:strRef>
          </c:cat>
          <c:val>
            <c:numRef>
              <c:f>Sheet1!$C$2:$C$9</c:f>
              <c:numCache>
                <c:formatCode>General</c:formatCode>
                <c:ptCount val="8"/>
                <c:pt idx="0">
                  <c:v>20.100000000000001</c:v>
                </c:pt>
                <c:pt idx="1">
                  <c:v>18.899999999999999</c:v>
                </c:pt>
                <c:pt idx="2">
                  <c:v>24.7</c:v>
                </c:pt>
                <c:pt idx="3">
                  <c:v>25.1</c:v>
                </c:pt>
                <c:pt idx="4">
                  <c:v>23.4</c:v>
                </c:pt>
                <c:pt idx="5">
                  <c:v>21.6</c:v>
                </c:pt>
                <c:pt idx="6">
                  <c:v>29.5</c:v>
                </c:pt>
                <c:pt idx="7">
                  <c:v>29.8</c:v>
                </c:pt>
              </c:numCache>
            </c:numRef>
          </c:val>
          <c:extLst>
            <c:ext xmlns:c16="http://schemas.microsoft.com/office/drawing/2014/chart" uri="{C3380CC4-5D6E-409C-BE32-E72D297353CC}">
              <c16:uniqueId val="{00000001-CD28-45A5-AB95-07E85AB0341E}"/>
            </c:ext>
          </c:extLst>
        </c:ser>
        <c:dLbls>
          <c:dLblPos val="ctr"/>
          <c:showLegendKey val="0"/>
          <c:showVal val="1"/>
          <c:showCatName val="0"/>
          <c:showSerName val="0"/>
          <c:showPercent val="0"/>
          <c:showBubbleSize val="0"/>
        </c:dLbls>
        <c:gapWidth val="150"/>
        <c:overlap val="100"/>
        <c:axId val="1981185439"/>
        <c:axId val="998103903"/>
      </c:barChart>
      <c:catAx>
        <c:axId val="1981185439"/>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solidFill>
                <a:latin typeface="+mn-lt"/>
                <a:ea typeface="+mn-ea"/>
                <a:cs typeface="+mn-cs"/>
              </a:defRPr>
            </a:pPr>
            <a:endParaRPr lang="en-US"/>
          </a:p>
        </c:txPr>
        <c:crossAx val="998103903"/>
        <c:crosses val="autoZero"/>
        <c:auto val="1"/>
        <c:lblAlgn val="ctr"/>
        <c:lblOffset val="100"/>
        <c:noMultiLvlLbl val="0"/>
      </c:catAx>
      <c:valAx>
        <c:axId val="998103903"/>
        <c:scaling>
          <c:orientation val="minMax"/>
        </c:scaling>
        <c:delete val="0"/>
        <c:axPos val="b"/>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solidFill>
                <a:latin typeface="+mn-lt"/>
                <a:ea typeface="+mn-ea"/>
                <a:cs typeface="+mn-cs"/>
              </a:defRPr>
            </a:pPr>
            <a:endParaRPr lang="en-US"/>
          </a:p>
        </c:txPr>
        <c:crossAx val="1981185439"/>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solidFill>
              <a:latin typeface="+mn-lt"/>
              <a:ea typeface="+mn-ea"/>
              <a:cs typeface="+mn-cs"/>
            </a:defRPr>
          </a:pPr>
          <a:endParaRPr lang="en-US"/>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solidFill>
            <a:schemeClr val="tx1"/>
          </a:solidFill>
        </a:defRPr>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cycle" id="12">
  <a:schemeClr val="accent2"/>
  <a:schemeClr val="accent4"/>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9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6</TotalTime>
  <Pages>5</Pages>
  <Words>797</Words>
  <Characters>4545</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5332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Ellie Valentine</dc:creator>
  <cp:keywords/>
  <dc:description/>
  <cp:lastModifiedBy>Christine Brereton</cp:lastModifiedBy>
  <cp:revision>2</cp:revision>
  <dcterms:created xsi:type="dcterms:W3CDTF">2026-04-25T12:27:00Z</dcterms:created>
  <dcterms:modified xsi:type="dcterms:W3CDTF">2026-04-25T12:27:00Z</dcterms:modified>
</cp:coreProperties>
</file>